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6381" w14:textId="77777777" w:rsid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9.11</w:t>
      </w:r>
      <w:r>
        <w:rPr>
          <w:rFonts w:ascii="Garamond" w:hAnsi="Garamond"/>
          <w:sz w:val="24"/>
          <w:szCs w:val="24"/>
        </w:rPr>
        <w:tab/>
      </w:r>
      <w:r w:rsidRPr="00B13A61">
        <w:rPr>
          <w:rFonts w:ascii="Garamond" w:hAnsi="Garamond"/>
          <w:b/>
          <w:bCs/>
          <w:sz w:val="24"/>
          <w:szCs w:val="24"/>
        </w:rPr>
        <w:t>Equity Studies</w:t>
      </w:r>
      <w:r w:rsidRPr="00B13A61">
        <w:rPr>
          <w:rFonts w:ascii="Garamond" w:hAnsi="Garamond"/>
          <w:sz w:val="24"/>
          <w:szCs w:val="24"/>
        </w:rPr>
        <w:t xml:space="preserve"> </w:t>
      </w:r>
    </w:p>
    <w:p w14:paraId="58D8C4CD" w14:textId="77777777" w:rsid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</w:p>
    <w:p w14:paraId="6843DBBF" w14:textId="2D66E74D" w:rsidR="00B13A61" w:rsidRP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  <w:r w:rsidRPr="00B13A61">
        <w:rPr>
          <w:rFonts w:ascii="Garamond" w:hAnsi="Garamond"/>
          <w:sz w:val="24"/>
          <w:szCs w:val="24"/>
        </w:rPr>
        <w:t xml:space="preserve">A list of </w:t>
      </w:r>
      <w:r w:rsidRPr="00B13A61">
        <w:rPr>
          <w:rFonts w:ascii="Garamond" w:hAnsi="Garamond"/>
          <w:strike/>
          <w:sz w:val="24"/>
          <w:szCs w:val="24"/>
        </w:rPr>
        <w:t>13</w:t>
      </w:r>
      <w:r w:rsidRPr="00B13A61">
        <w:rPr>
          <w:rFonts w:ascii="Garamond" w:hAnsi="Garamond"/>
          <w:sz w:val="24"/>
          <w:szCs w:val="24"/>
        </w:rPr>
        <w:t xml:space="preserve"> comparison jurisdictions is established for the purpose of salary equity studies: Alameda County, </w:t>
      </w:r>
      <w:r w:rsidRPr="007316F3">
        <w:rPr>
          <w:rFonts w:ascii="Garamond" w:hAnsi="Garamond"/>
          <w:sz w:val="24"/>
          <w:szCs w:val="24"/>
        </w:rPr>
        <w:t>Concord, Contra Costa County, Daly City, Fremont, Hayward,</w:t>
      </w:r>
      <w:r w:rsidRPr="00B13A61">
        <w:rPr>
          <w:rFonts w:ascii="Garamond" w:hAnsi="Garamond"/>
          <w:sz w:val="24"/>
          <w:szCs w:val="24"/>
        </w:rPr>
        <w:t xml:space="preserve"> Oakland,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Mountain View, </w:t>
      </w:r>
      <w:r w:rsidRPr="00B13A61">
        <w:rPr>
          <w:rFonts w:ascii="Garamond" w:hAnsi="Garamond"/>
          <w:sz w:val="24"/>
          <w:szCs w:val="24"/>
        </w:rPr>
        <w:t xml:space="preserve">Palo </w:t>
      </w:r>
      <w:r w:rsidRPr="007316F3">
        <w:rPr>
          <w:rFonts w:ascii="Garamond" w:hAnsi="Garamond"/>
          <w:sz w:val="24"/>
          <w:szCs w:val="24"/>
        </w:rPr>
        <w:t>Alto, Richmond,</w:t>
      </w:r>
      <w:r w:rsidRPr="00B13A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Port of Oakland, </w:t>
      </w:r>
      <w:r w:rsidRPr="00B13A61">
        <w:rPr>
          <w:rFonts w:ascii="Garamond" w:hAnsi="Garamond"/>
          <w:sz w:val="24"/>
          <w:szCs w:val="24"/>
        </w:rPr>
        <w:t xml:space="preserve">San Francisco, San Jose, San Mateo, </w:t>
      </w:r>
      <w:r w:rsidRPr="00B13A61">
        <w:rPr>
          <w:rFonts w:ascii="Garamond" w:hAnsi="Garamond"/>
          <w:strike/>
          <w:sz w:val="24"/>
          <w:szCs w:val="24"/>
        </w:rPr>
        <w:t>and</w:t>
      </w:r>
      <w:r w:rsidRPr="00B13A61">
        <w:rPr>
          <w:rFonts w:ascii="Garamond" w:hAnsi="Garamond"/>
          <w:sz w:val="24"/>
          <w:szCs w:val="24"/>
        </w:rPr>
        <w:t xml:space="preserve"> Santa Clara County</w:t>
      </w:r>
      <w:r>
        <w:rPr>
          <w:rFonts w:ascii="Garamond" w:hAnsi="Garamond"/>
          <w:sz w:val="24"/>
          <w:szCs w:val="24"/>
        </w:rPr>
        <w:t xml:space="preserve">, </w:t>
      </w:r>
      <w:r w:rsidR="007316F3" w:rsidRPr="007316F3">
        <w:rPr>
          <w:rFonts w:ascii="Garamond" w:hAnsi="Garamond"/>
          <w:b/>
          <w:bCs/>
          <w:sz w:val="24"/>
          <w:szCs w:val="24"/>
          <w:u w:val="single"/>
        </w:rPr>
        <w:t>and</w:t>
      </w:r>
      <w:r w:rsidR="007316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>Walnut Creek</w:t>
      </w:r>
      <w:r w:rsidRPr="00B13A61">
        <w:rPr>
          <w:rFonts w:ascii="Garamond" w:hAnsi="Garamond"/>
          <w:sz w:val="24"/>
          <w:szCs w:val="24"/>
        </w:rPr>
        <w:t xml:space="preserve">. If at least eight matches are not found for a classification after polling this entire list other jurisdictions may be added as required by agreement between the parties. For Health classifications only, the following jurisdictions shall be surveyed: Alameda County,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Alameda Health System, </w:t>
      </w:r>
      <w:r w:rsidRPr="00B13A61">
        <w:rPr>
          <w:rFonts w:ascii="Garamond" w:hAnsi="Garamond"/>
          <w:sz w:val="24"/>
          <w:szCs w:val="24"/>
        </w:rPr>
        <w:t xml:space="preserve">Contra Costa County, San Francisco, San Mateo County, Santa Clara County, Marin County, Sonoma County, and Solano County. </w:t>
      </w:r>
    </w:p>
    <w:p w14:paraId="7FEC5E61" w14:textId="77777777" w:rsidR="00B13A61" w:rsidRPr="00B13A61" w:rsidRDefault="00B13A61" w:rsidP="00B13A61">
      <w:pPr>
        <w:pStyle w:val="NoSpacing"/>
        <w:rPr>
          <w:rFonts w:ascii="Garamond" w:hAnsi="Garamond"/>
          <w:sz w:val="24"/>
          <w:szCs w:val="24"/>
        </w:rPr>
      </w:pPr>
    </w:p>
    <w:p w14:paraId="1F422A49" w14:textId="0AD4D258" w:rsidR="00B13A61" w:rsidRPr="00B13A61" w:rsidRDefault="00B13A61" w:rsidP="00B13A61">
      <w:pPr>
        <w:pStyle w:val="NoSpacing"/>
        <w:rPr>
          <w:rFonts w:ascii="Garamond" w:hAnsi="Garamond"/>
          <w:strike/>
          <w:sz w:val="24"/>
          <w:szCs w:val="24"/>
        </w:rPr>
      </w:pPr>
      <w:r w:rsidRPr="00B13A61">
        <w:rPr>
          <w:rFonts w:ascii="Garamond" w:hAnsi="Garamond"/>
          <w:sz w:val="24"/>
          <w:szCs w:val="24"/>
        </w:rPr>
        <w:t xml:space="preserve">9.11.1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The City will maintain a report on the </w:t>
      </w:r>
      <w:proofErr w:type="gramStart"/>
      <w:r>
        <w:rPr>
          <w:rFonts w:ascii="Garamond" w:hAnsi="Garamond"/>
          <w:b/>
          <w:bCs/>
          <w:sz w:val="24"/>
          <w:szCs w:val="24"/>
          <w:u w:val="single"/>
        </w:rPr>
        <w:t>City</w:t>
      </w:r>
      <w:proofErr w:type="gramEnd"/>
      <w:r>
        <w:rPr>
          <w:rFonts w:ascii="Garamond" w:hAnsi="Garamond"/>
          <w:b/>
          <w:bCs/>
          <w:sz w:val="24"/>
          <w:szCs w:val="24"/>
          <w:u w:val="single"/>
        </w:rPr>
        <w:t xml:space="preserve"> website updated on a monthly basis showing budgeted and vacant FTEs by classification and department. </w:t>
      </w:r>
      <w:r w:rsidRPr="00B13A61">
        <w:rPr>
          <w:rFonts w:ascii="Garamond" w:hAnsi="Garamond"/>
          <w:strike/>
          <w:sz w:val="24"/>
          <w:szCs w:val="24"/>
        </w:rPr>
        <w:t xml:space="preserve">When the City conducts a </w:t>
      </w:r>
      <w:proofErr w:type="spellStart"/>
      <w:r w:rsidRPr="00B13A61">
        <w:rPr>
          <w:rFonts w:ascii="Garamond" w:hAnsi="Garamond"/>
          <w:strike/>
          <w:sz w:val="24"/>
          <w:szCs w:val="24"/>
        </w:rPr>
        <w:t>unitwide</w:t>
      </w:r>
      <w:proofErr w:type="spellEnd"/>
      <w:r w:rsidRPr="00B13A61">
        <w:rPr>
          <w:rFonts w:ascii="Garamond" w:hAnsi="Garamond"/>
          <w:strike/>
          <w:sz w:val="24"/>
          <w:szCs w:val="24"/>
        </w:rPr>
        <w:t xml:space="preserve"> total compensation study as part of successor MOU negotiations, the Legislative Assistant will be studied as a benchmark classification. </w:t>
      </w:r>
    </w:p>
    <w:p w14:paraId="2FC7CF9C" w14:textId="77777777" w:rsidR="00B13A61" w:rsidRPr="00B13A61" w:rsidRDefault="00B13A61" w:rsidP="00B13A61">
      <w:pPr>
        <w:pStyle w:val="NoSpacing"/>
        <w:rPr>
          <w:rFonts w:ascii="Garamond" w:hAnsi="Garamond"/>
          <w:strike/>
          <w:sz w:val="24"/>
          <w:szCs w:val="24"/>
        </w:rPr>
      </w:pPr>
    </w:p>
    <w:p w14:paraId="76047709" w14:textId="485CEB9D" w:rsidR="002D039C" w:rsidRPr="00B13A61" w:rsidRDefault="00B13A61" w:rsidP="00B13A61">
      <w:pPr>
        <w:pStyle w:val="NoSpacing"/>
        <w:rPr>
          <w:rFonts w:ascii="Garamond" w:hAnsi="Garamond"/>
          <w:strike/>
          <w:sz w:val="24"/>
          <w:szCs w:val="24"/>
        </w:rPr>
      </w:pPr>
      <w:r w:rsidRPr="00B13A61">
        <w:rPr>
          <w:rFonts w:ascii="Garamond" w:hAnsi="Garamond"/>
          <w:strike/>
          <w:sz w:val="24"/>
          <w:szCs w:val="24"/>
        </w:rPr>
        <w:t>9.12 During the term of this Agreement, the City agrees to conduct classification studies on the following classifications: Building Inspector; Housing Inspector; Recreation Activity Leader; and the Management Analyst series represented by this Memorandum agreement.</w:t>
      </w:r>
    </w:p>
    <w:sectPr w:rsidR="002D039C" w:rsidRPr="00B13A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4770" w14:textId="77777777" w:rsidR="00ED329E" w:rsidRDefault="00ED329E" w:rsidP="00FE0E96">
      <w:pPr>
        <w:spacing w:after="0" w:line="240" w:lineRule="auto"/>
      </w:pPr>
      <w:r>
        <w:separator/>
      </w:r>
    </w:p>
  </w:endnote>
  <w:endnote w:type="continuationSeparator" w:id="0">
    <w:p w14:paraId="25D151DB" w14:textId="77777777" w:rsidR="00ED329E" w:rsidRDefault="00ED329E" w:rsidP="00FE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1438" w14:textId="77777777" w:rsidR="00ED329E" w:rsidRDefault="00ED329E" w:rsidP="00FE0E96">
      <w:pPr>
        <w:spacing w:after="0" w:line="240" w:lineRule="auto"/>
      </w:pPr>
      <w:r>
        <w:separator/>
      </w:r>
    </w:p>
  </w:footnote>
  <w:footnote w:type="continuationSeparator" w:id="0">
    <w:p w14:paraId="7F8239EB" w14:textId="77777777" w:rsidR="00ED329E" w:rsidRDefault="00ED329E" w:rsidP="00FE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C26A" w14:textId="7B65B7CC" w:rsidR="00FE0E96" w:rsidRDefault="00FE0E96">
    <w:pPr>
      <w:pStyle w:val="Header"/>
    </w:pPr>
    <w:r>
      <w:t>SEIU Local 1021/CSU-PTRLA proposal to the City of Berkeley</w:t>
    </w:r>
  </w:p>
  <w:p w14:paraId="737F9F9A" w14:textId="17067901" w:rsidR="00FE0E96" w:rsidRDefault="005D0C04">
    <w:pPr>
      <w:pStyle w:val="Header"/>
    </w:pPr>
    <w:r>
      <w:t>October 7, 2024</w:t>
    </w:r>
  </w:p>
  <w:p w14:paraId="79A2FDD6" w14:textId="2D96D354" w:rsidR="005D0C04" w:rsidRDefault="005D0C04">
    <w:pPr>
      <w:pStyle w:val="Header"/>
    </w:pPr>
    <w:r>
      <w:t>Union Proposal 21 v2</w:t>
    </w:r>
  </w:p>
  <w:p w14:paraId="498FEDBC" w14:textId="77777777" w:rsidR="005D0C04" w:rsidRDefault="005D0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61"/>
    <w:rsid w:val="002D039C"/>
    <w:rsid w:val="00371EA9"/>
    <w:rsid w:val="005D0C04"/>
    <w:rsid w:val="005E77C6"/>
    <w:rsid w:val="007316F3"/>
    <w:rsid w:val="007B2635"/>
    <w:rsid w:val="00A3315E"/>
    <w:rsid w:val="00B13A61"/>
    <w:rsid w:val="00DD6454"/>
    <w:rsid w:val="00ED329E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3B35"/>
  <w15:chartTrackingRefBased/>
  <w15:docId w15:val="{6C71B111-189A-4105-A908-CA6F6F7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A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3A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E96"/>
  </w:style>
  <w:style w:type="paragraph" w:styleId="Footer">
    <w:name w:val="footer"/>
    <w:basedOn w:val="Normal"/>
    <w:link w:val="FooterChar"/>
    <w:uiPriority w:val="99"/>
    <w:unhideWhenUsed/>
    <w:rsid w:val="00FE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4</cp:revision>
  <dcterms:created xsi:type="dcterms:W3CDTF">2024-10-07T19:31:00Z</dcterms:created>
  <dcterms:modified xsi:type="dcterms:W3CDTF">2024-10-07T19:33:00Z</dcterms:modified>
</cp:coreProperties>
</file>