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17.3 Accrual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Employees shall be entitled to vacation leave as follows (except as provided in Sections 17.4 (Accrual, Use, and Limitations for Employees), 17.5 (Effect of Holidays Upon Vacation Leave), </w:t>
      </w:r>
      <w:r w:rsidDel="00000000" w:rsidR="00000000" w:rsidRPr="00000000">
        <w:rPr>
          <w:strike w:val="1"/>
          <w:color w:val="ff0000"/>
          <w:rtl w:val="0"/>
        </w:rPr>
        <w:t xml:space="preserve">17.9 (Public Health Classifications Vacation Accrual), 17.10 (Mental Health Classifications Vacation Accrual), 17.11 (Library Classifications Vacation Accrual), </w:t>
      </w:r>
      <w:r w:rsidDel="00000000" w:rsidR="00000000" w:rsidRPr="00000000">
        <w:rPr>
          <w:rtl w:val="0"/>
        </w:rPr>
        <w:t xml:space="preserve">and 17.12 (Vacation Without Pay) below).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380"/>
        <w:tblGridChange w:id="0">
          <w:tblGrid>
            <w:gridCol w:w="4485"/>
            <w:gridCol w:w="438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Years of Service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Authorize Annual Vacation (in work weeks)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First through fourth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3 work weeks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Fifth through eighth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4 work weeks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Ninth through twelfth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4.5 work weeks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Thirteenth through sixteenth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5 work weeks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Seventeenth through twentieth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5.5 work weeks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Twenty-first and subsequent years of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6 work weeks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17.9 Public Health Classifications Vacation Accrual</w:t>
      </w:r>
    </w:p>
    <w:p w:rsidR="00000000" w:rsidDel="00000000" w:rsidP="00000000" w:rsidRDefault="00000000" w:rsidRPr="00000000" w14:paraId="00000014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The authorized annual vacation leave for employees occupying positions in the classifications listed in this Section 17.9 shall be entitled to vacation leave as noted herein:</w:t>
      </w:r>
    </w:p>
    <w:p w:rsidR="00000000" w:rsidDel="00000000" w:rsidP="00000000" w:rsidRDefault="00000000" w:rsidRPr="00000000" w14:paraId="00000015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trike w:val="1"/>
          <w:u w:val="single"/>
        </w:rPr>
      </w:pPr>
      <w:r w:rsidDel="00000000" w:rsidR="00000000" w:rsidRPr="00000000">
        <w:rPr>
          <w:b w:val="1"/>
          <w:strike w:val="1"/>
          <w:u w:val="single"/>
          <w:rtl w:val="0"/>
        </w:rPr>
        <w:t xml:space="preserve">Job Code</w:t>
      </w:r>
      <w:r w:rsidDel="00000000" w:rsidR="00000000" w:rsidRPr="00000000">
        <w:rPr>
          <w:b w:val="1"/>
          <w:strike w:val="1"/>
          <w:rtl w:val="0"/>
        </w:rPr>
        <w:tab/>
      </w:r>
      <w:r w:rsidDel="00000000" w:rsidR="00000000" w:rsidRPr="00000000">
        <w:rPr>
          <w:b w:val="1"/>
          <w:strike w:val="1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17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95070</w:t>
        <w:tab/>
        <w:tab/>
        <w:t xml:space="preserve">Community Health Worker</w:t>
      </w:r>
    </w:p>
    <w:p w:rsidR="00000000" w:rsidDel="00000000" w:rsidP="00000000" w:rsidRDefault="00000000" w:rsidRPr="00000000" w14:paraId="00000018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95370</w:t>
        <w:tab/>
        <w:tab/>
        <w:t xml:space="preserve">Community Health Worker Specialist</w:t>
      </w:r>
    </w:p>
    <w:p w:rsidR="00000000" w:rsidDel="00000000" w:rsidP="00000000" w:rsidRDefault="00000000" w:rsidRPr="00000000" w14:paraId="00000019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34050</w:t>
        <w:tab/>
        <w:tab/>
        <w:t xml:space="preserve">Licensed Vocational Nurse</w:t>
      </w:r>
    </w:p>
    <w:p w:rsidR="00000000" w:rsidDel="00000000" w:rsidP="00000000" w:rsidRDefault="00000000" w:rsidRPr="00000000" w14:paraId="0000001A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24700</w:t>
        <w:tab/>
        <w:tab/>
        <w:t xml:space="preserve">Mid-Level Practitioner</w:t>
      </w:r>
    </w:p>
    <w:p w:rsidR="00000000" w:rsidDel="00000000" w:rsidP="00000000" w:rsidRDefault="00000000" w:rsidRPr="00000000" w14:paraId="0000001B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24020</w:t>
        <w:tab/>
        <w:tab/>
        <w:t xml:space="preserve">Public Health Nurse</w:t>
      </w:r>
    </w:p>
    <w:p w:rsidR="00000000" w:rsidDel="00000000" w:rsidP="00000000" w:rsidRDefault="00000000" w:rsidRPr="00000000" w14:paraId="0000001C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24760</w:t>
        <w:tab/>
        <w:tab/>
        <w:t xml:space="preserve">Psychiatrist</w:t>
      </w:r>
    </w:p>
    <w:p w:rsidR="00000000" w:rsidDel="00000000" w:rsidP="00000000" w:rsidRDefault="00000000" w:rsidRPr="00000000" w14:paraId="0000001D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24030</w:t>
        <w:tab/>
        <w:tab/>
        <w:t xml:space="preserve">Registered Nurse</w:t>
      </w:r>
    </w:p>
    <w:p w:rsidR="00000000" w:rsidDel="00000000" w:rsidP="00000000" w:rsidRDefault="00000000" w:rsidRPr="00000000" w14:paraId="0000001E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95390</w:t>
        <w:tab/>
        <w:tab/>
        <w:t xml:space="preserve">Senior Community Health Worker Specialist</w:t>
      </w:r>
    </w:p>
    <w:p w:rsidR="00000000" w:rsidDel="00000000" w:rsidP="00000000" w:rsidRDefault="00000000" w:rsidRPr="00000000" w14:paraId="0000001F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24010</w:t>
        <w:tab/>
        <w:tab/>
        <w:t xml:space="preserve">Senior Public Health Nurse</w:t>
      </w:r>
    </w:p>
    <w:p w:rsidR="00000000" w:rsidDel="00000000" w:rsidP="00000000" w:rsidRDefault="00000000" w:rsidRPr="00000000" w14:paraId="00000020">
      <w:pPr>
        <w:rPr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Authorize Annual Vacation (in work weeks)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1st through 2nd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3rd through 5th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6th through 17th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18th through 24th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25th and subsequent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 work weeks</w:t>
            </w:r>
          </w:p>
        </w:tc>
      </w:tr>
    </w:tbl>
    <w:p w:rsidR="00000000" w:rsidDel="00000000" w:rsidP="00000000" w:rsidRDefault="00000000" w:rsidRPr="00000000" w14:paraId="0000002D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17.10 Mental Health Classifications Vacation Accrual</w:t>
      </w:r>
    </w:p>
    <w:p w:rsidR="00000000" w:rsidDel="00000000" w:rsidP="00000000" w:rsidRDefault="00000000" w:rsidRPr="00000000" w14:paraId="0000002F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The authorized annual vacation leave for employees occupying positions in the classifications listed in this Section 17.10 shall be entitled to vacation leave as noted herein:</w:t>
      </w:r>
    </w:p>
    <w:p w:rsidR="00000000" w:rsidDel="00000000" w:rsidP="00000000" w:rsidRDefault="00000000" w:rsidRPr="00000000" w14:paraId="00000030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trike w:val="1"/>
        </w:rPr>
      </w:pPr>
      <w:r w:rsidDel="00000000" w:rsidR="00000000" w:rsidRPr="00000000">
        <w:rPr>
          <w:b w:val="1"/>
          <w:strike w:val="1"/>
          <w:u w:val="single"/>
          <w:rtl w:val="0"/>
        </w:rPr>
        <w:t xml:space="preserve">Job Code</w:t>
      </w:r>
      <w:r w:rsidDel="00000000" w:rsidR="00000000" w:rsidRPr="00000000">
        <w:rPr>
          <w:b w:val="1"/>
          <w:strike w:val="1"/>
          <w:rtl w:val="0"/>
        </w:rPr>
        <w:tab/>
      </w:r>
      <w:r w:rsidDel="00000000" w:rsidR="00000000" w:rsidRPr="00000000">
        <w:rPr>
          <w:b w:val="1"/>
          <w:strike w:val="1"/>
          <w:u w:val="singl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94040</w:t>
        <w:tab/>
        <w:tab/>
        <w:t xml:space="preserve">Assistant Mental Health Clinician</w:t>
      </w:r>
    </w:p>
    <w:p w:rsidR="00000000" w:rsidDel="00000000" w:rsidP="00000000" w:rsidRDefault="00000000" w:rsidRPr="00000000" w14:paraId="00000033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24110</w:t>
        <w:tab/>
        <w:tab/>
        <w:t xml:space="preserve">Clinical Psychologist</w:t>
      </w:r>
    </w:p>
    <w:p w:rsidR="00000000" w:rsidDel="00000000" w:rsidP="00000000" w:rsidRDefault="00000000" w:rsidRPr="00000000" w14:paraId="00000034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24760</w:t>
        <w:tab/>
        <w:tab/>
        <w:t xml:space="preserve">Psychiatrist</w:t>
      </w:r>
    </w:p>
    <w:p w:rsidR="00000000" w:rsidDel="00000000" w:rsidP="00000000" w:rsidRDefault="00000000" w:rsidRPr="00000000" w14:paraId="00000035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24780</w:t>
        <w:tab/>
        <w:tab/>
        <w:t xml:space="preserve">Behavioral Health Clinician I</w:t>
      </w:r>
    </w:p>
    <w:p w:rsidR="00000000" w:rsidDel="00000000" w:rsidP="00000000" w:rsidRDefault="00000000" w:rsidRPr="00000000" w14:paraId="00000036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24790</w:t>
        <w:tab/>
        <w:tab/>
        <w:t xml:space="preserve">Behavioral Health Clinician II</w:t>
      </w:r>
    </w:p>
    <w:p w:rsidR="00000000" w:rsidDel="00000000" w:rsidP="00000000" w:rsidRDefault="00000000" w:rsidRPr="00000000" w14:paraId="00000037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24800</w:t>
        <w:tab/>
        <w:tab/>
        <w:t xml:space="preserve">Senior Behavioral Health Clinician</w:t>
      </w:r>
    </w:p>
    <w:p w:rsidR="00000000" w:rsidDel="00000000" w:rsidP="00000000" w:rsidRDefault="00000000" w:rsidRPr="00000000" w14:paraId="00000038">
      <w:pPr>
        <w:rPr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Authorize Annual Vacation (in work weeks)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1st through 4th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5th through 17th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18th through 24th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25th and subsequent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 work weeks</w:t>
            </w:r>
          </w:p>
        </w:tc>
      </w:tr>
    </w:tbl>
    <w:p w:rsidR="00000000" w:rsidDel="00000000" w:rsidP="00000000" w:rsidRDefault="00000000" w:rsidRPr="00000000" w14:paraId="00000043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trike w:val="1"/>
        </w:rPr>
      </w:pPr>
      <w:r w:rsidDel="00000000" w:rsidR="00000000" w:rsidRPr="00000000">
        <w:rPr>
          <w:b w:val="1"/>
          <w:strike w:val="1"/>
          <w:rtl w:val="0"/>
        </w:rPr>
        <w:t xml:space="preserve">17.11 Library Classifications Vacation Accrual</w:t>
      </w:r>
    </w:p>
    <w:p w:rsidR="00000000" w:rsidDel="00000000" w:rsidP="00000000" w:rsidRDefault="00000000" w:rsidRPr="00000000" w14:paraId="00000045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The authorized annual vacation leave for employees occupying positions in the classifications listed in this Section 17.11 shall be entitled to vacation leave as noted herein:</w:t>
      </w:r>
    </w:p>
    <w:p w:rsidR="00000000" w:rsidDel="00000000" w:rsidP="00000000" w:rsidRDefault="00000000" w:rsidRPr="00000000" w14:paraId="00000046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trike w:val="1"/>
          <w:u w:val="single"/>
        </w:rPr>
      </w:pPr>
      <w:r w:rsidDel="00000000" w:rsidR="00000000" w:rsidRPr="00000000">
        <w:rPr>
          <w:b w:val="1"/>
          <w:strike w:val="1"/>
          <w:u w:val="single"/>
          <w:rtl w:val="0"/>
        </w:rPr>
        <w:t xml:space="preserve">Job Code</w:t>
      </w:r>
      <w:r w:rsidDel="00000000" w:rsidR="00000000" w:rsidRPr="00000000">
        <w:rPr>
          <w:b w:val="1"/>
          <w:strike w:val="1"/>
          <w:rtl w:val="0"/>
        </w:rPr>
        <w:tab/>
      </w:r>
      <w:r w:rsidDel="00000000" w:rsidR="00000000" w:rsidRPr="00000000">
        <w:rPr>
          <w:b w:val="1"/>
          <w:strike w:val="1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48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26070</w:t>
        <w:tab/>
        <w:tab/>
        <w:t xml:space="preserve">Automation Librarian</w:t>
      </w:r>
    </w:p>
    <w:p w:rsidR="00000000" w:rsidDel="00000000" w:rsidP="00000000" w:rsidRDefault="00000000" w:rsidRPr="00000000" w14:paraId="00000049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26050</w:t>
        <w:tab/>
        <w:tab/>
        <w:t xml:space="preserve">Librarian I</w:t>
      </w:r>
    </w:p>
    <w:p w:rsidR="00000000" w:rsidDel="00000000" w:rsidP="00000000" w:rsidRDefault="00000000" w:rsidRPr="00000000" w14:paraId="0000004A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26040</w:t>
        <w:tab/>
        <w:tab/>
        <w:t xml:space="preserve">Librarian II</w:t>
      </w:r>
    </w:p>
    <w:p w:rsidR="00000000" w:rsidDel="00000000" w:rsidP="00000000" w:rsidRDefault="00000000" w:rsidRPr="00000000" w14:paraId="0000004B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26060</w:t>
        <w:tab/>
        <w:tab/>
        <w:t xml:space="preserve">Senior Librarian</w:t>
      </w:r>
    </w:p>
    <w:p w:rsidR="00000000" w:rsidDel="00000000" w:rsidP="00000000" w:rsidRDefault="00000000" w:rsidRPr="00000000" w14:paraId="0000004C">
      <w:pPr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26030</w:t>
        <w:tab/>
        <w:tab/>
        <w:t xml:space="preserve">Supervising Librarian</w:t>
      </w:r>
    </w:p>
    <w:p w:rsidR="00000000" w:rsidDel="00000000" w:rsidP="00000000" w:rsidRDefault="00000000" w:rsidRPr="00000000" w14:paraId="0000004D">
      <w:pPr>
        <w:rPr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trike w:val="1"/>
              </w:rPr>
            </w:pPr>
            <w:r w:rsidDel="00000000" w:rsidR="00000000" w:rsidRPr="00000000">
              <w:rPr>
                <w:b w:val="1"/>
                <w:strike w:val="1"/>
                <w:rtl w:val="0"/>
              </w:rPr>
              <w:t xml:space="preserve">Authorize Annual Vacation (in work weeks)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1st through 11th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3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12th through 17th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4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18th through 24th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5 work weeks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25th and subsequent years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trike w:val="1"/>
              </w:rPr>
            </w:pPr>
            <w:r w:rsidDel="00000000" w:rsidR="00000000" w:rsidRPr="00000000">
              <w:rPr>
                <w:strike w:val="1"/>
                <w:rtl w:val="0"/>
              </w:rPr>
              <w:t xml:space="preserve">6 work weeks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tabs>
        <w:tab w:val="center" w:leader="none" w:pos="4680"/>
        <w:tab w:val="right" w:leader="none" w:pos="9360"/>
      </w:tabs>
      <w:spacing w:line="240" w:lineRule="auto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SEIU Local 1021/CSU-PTRLA proposal to City of Berkeley</w:t>
    </w:r>
  </w:p>
  <w:p w:rsidR="00000000" w:rsidDel="00000000" w:rsidP="00000000" w:rsidRDefault="00000000" w:rsidRPr="00000000" w14:paraId="0000005A">
    <w:pPr>
      <w:tabs>
        <w:tab w:val="center" w:leader="none" w:pos="4680"/>
        <w:tab w:val="right" w:leader="none" w:pos="9360"/>
      </w:tabs>
      <w:spacing w:line="240" w:lineRule="auto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September 30, 2024</w:t>
    </w:r>
  </w:p>
  <w:p w:rsidR="00000000" w:rsidDel="00000000" w:rsidP="00000000" w:rsidRDefault="00000000" w:rsidRPr="00000000" w14:paraId="0000005B">
    <w:pPr>
      <w:tabs>
        <w:tab w:val="center" w:leader="none" w:pos="4680"/>
        <w:tab w:val="right" w:leader="none" w:pos="9360"/>
      </w:tabs>
      <w:spacing w:line="240" w:lineRule="auto"/>
      <w:rPr>
        <w:rFonts w:ascii="Garamond" w:cs="Garamond" w:eastAsia="Garamond" w:hAnsi="Garamond"/>
      </w:rPr>
    </w:pPr>
    <w:r w:rsidDel="00000000" w:rsidR="00000000" w:rsidRPr="00000000">
      <w:rPr>
        <w:rFonts w:ascii="Garamond" w:cs="Garamond" w:eastAsia="Garamond" w:hAnsi="Garamond"/>
        <w:rtl w:val="0"/>
      </w:rPr>
      <w:t xml:space="preserve">Union Proposal #6 v2</w:t>
    </w:r>
  </w:p>
  <w:p w:rsidR="00000000" w:rsidDel="00000000" w:rsidP="00000000" w:rsidRDefault="00000000" w:rsidRPr="00000000" w14:paraId="0000005C">
    <w:pPr>
      <w:tabs>
        <w:tab w:val="center" w:leader="none" w:pos="4680"/>
        <w:tab w:val="right" w:leader="none" w:pos="9360"/>
      </w:tabs>
      <w:spacing w:line="240" w:lineRule="auto"/>
      <w:rPr>
        <w:rFonts w:ascii="Garamond" w:cs="Garamond" w:eastAsia="Garamond" w:hAnsi="Garamon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