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D2CD7" w14:textId="6D0308FC" w:rsidR="00F97A0D" w:rsidRPr="00F97A0D" w:rsidRDefault="00F97A0D" w:rsidP="00F97A0D">
      <w:pPr>
        <w:tabs>
          <w:tab w:val="left" w:pos="720"/>
          <w:tab w:val="left" w:pos="1440"/>
        </w:tabs>
        <w:jc w:val="both"/>
        <w:rPr>
          <w:rFonts w:ascii="Garamond" w:eastAsiaTheme="majorEastAsia" w:hAnsi="Garamond" w:cs="Arial"/>
          <w:b/>
          <w:bCs/>
          <w:kern w:val="32"/>
          <w:sz w:val="24"/>
          <w:szCs w:val="24"/>
        </w:rPr>
      </w:pPr>
      <w:bookmarkStart w:id="0" w:name="_Toc343166985"/>
      <w:bookmarkStart w:id="1" w:name="_Toc343169589"/>
      <w:bookmarkStart w:id="2" w:name="_Toc134099969"/>
      <w:r w:rsidRPr="00F97A0D">
        <w:rPr>
          <w:rFonts w:ascii="Garamond" w:eastAsiaTheme="majorEastAsia" w:hAnsi="Garamond" w:cs="Arial"/>
          <w:b/>
          <w:bCs/>
          <w:kern w:val="32"/>
          <w:sz w:val="24"/>
          <w:szCs w:val="24"/>
        </w:rPr>
        <w:t>38.3.5 Formal Process: STEP 4 – Arbitration</w:t>
      </w:r>
      <w:r w:rsidR="00212BE2">
        <w:rPr>
          <w:rFonts w:ascii="Garamond" w:eastAsiaTheme="majorEastAsia" w:hAnsi="Garamond" w:cs="Arial"/>
          <w:b/>
          <w:bCs/>
          <w:kern w:val="32"/>
          <w:sz w:val="24"/>
          <w:szCs w:val="24"/>
        </w:rPr>
        <w:t xml:space="preserve"> AND same language changes to 39.8.5—Discipline.</w:t>
      </w:r>
    </w:p>
    <w:p w14:paraId="66511B38" w14:textId="77777777" w:rsidR="00F97A0D" w:rsidRPr="00F97A0D" w:rsidRDefault="00F97A0D" w:rsidP="00F97A0D">
      <w:pPr>
        <w:tabs>
          <w:tab w:val="left" w:pos="720"/>
          <w:tab w:val="left" w:pos="1440"/>
        </w:tabs>
        <w:jc w:val="both"/>
        <w:rPr>
          <w:rFonts w:ascii="Garamond" w:eastAsiaTheme="majorEastAsia" w:hAnsi="Garamond" w:cs="Arial"/>
          <w:kern w:val="32"/>
          <w:sz w:val="24"/>
          <w:szCs w:val="24"/>
        </w:rPr>
      </w:pPr>
    </w:p>
    <w:p w14:paraId="765E7AB0" w14:textId="725B8ABB" w:rsidR="00F97A0D" w:rsidRDefault="00F97A0D" w:rsidP="00F97A0D">
      <w:pPr>
        <w:tabs>
          <w:tab w:val="left" w:pos="720"/>
          <w:tab w:val="left" w:pos="1440"/>
        </w:tabs>
        <w:jc w:val="both"/>
        <w:rPr>
          <w:rFonts w:ascii="Garamond" w:eastAsiaTheme="majorEastAsia" w:hAnsi="Garamond" w:cs="Arial"/>
          <w:kern w:val="32"/>
          <w:sz w:val="24"/>
          <w:szCs w:val="24"/>
        </w:rPr>
      </w:pPr>
      <w:r w:rsidRPr="00F97A0D">
        <w:rPr>
          <w:rFonts w:ascii="Garamond" w:eastAsiaTheme="majorEastAsia" w:hAnsi="Garamond" w:cs="Arial"/>
          <w:kern w:val="32"/>
          <w:sz w:val="24"/>
          <w:szCs w:val="24"/>
        </w:rPr>
        <w:t>38.3.5.1 Complaints Filed With: If the Union is not satisfied with the results</w:t>
      </w:r>
      <w:r>
        <w:rPr>
          <w:rFonts w:ascii="Garamond" w:eastAsiaTheme="majorEastAsia" w:hAnsi="Garamond" w:cs="Arial"/>
          <w:kern w:val="32"/>
          <w:sz w:val="24"/>
          <w:szCs w:val="24"/>
        </w:rPr>
        <w:t xml:space="preserve"> </w:t>
      </w:r>
      <w:r w:rsidRPr="00F97A0D">
        <w:rPr>
          <w:rFonts w:ascii="Garamond" w:eastAsiaTheme="majorEastAsia" w:hAnsi="Garamond" w:cs="Arial"/>
          <w:kern w:val="32"/>
          <w:sz w:val="24"/>
          <w:szCs w:val="24"/>
        </w:rPr>
        <w:t>rendered in Step 3, the Union may require that the grievance be referred</w:t>
      </w:r>
      <w:r>
        <w:rPr>
          <w:rFonts w:ascii="Garamond" w:eastAsiaTheme="majorEastAsia" w:hAnsi="Garamond" w:cs="Arial"/>
          <w:kern w:val="32"/>
          <w:sz w:val="24"/>
          <w:szCs w:val="24"/>
        </w:rPr>
        <w:t xml:space="preserve"> </w:t>
      </w:r>
      <w:r w:rsidRPr="00F97A0D">
        <w:rPr>
          <w:rFonts w:ascii="Garamond" w:eastAsiaTheme="majorEastAsia" w:hAnsi="Garamond" w:cs="Arial"/>
          <w:kern w:val="32"/>
          <w:sz w:val="24"/>
          <w:szCs w:val="24"/>
        </w:rPr>
        <w:t>to an impartial arbitrator by notifying the applicable Grievance Appeal</w:t>
      </w:r>
      <w:r>
        <w:rPr>
          <w:rFonts w:ascii="Garamond" w:eastAsiaTheme="majorEastAsia" w:hAnsi="Garamond" w:cs="Arial"/>
          <w:kern w:val="32"/>
          <w:sz w:val="24"/>
          <w:szCs w:val="24"/>
        </w:rPr>
        <w:t xml:space="preserve"> </w:t>
      </w:r>
      <w:r w:rsidRPr="00F97A0D">
        <w:rPr>
          <w:rFonts w:ascii="Garamond" w:eastAsiaTheme="majorEastAsia" w:hAnsi="Garamond" w:cs="Arial"/>
          <w:kern w:val="32"/>
          <w:sz w:val="24"/>
          <w:szCs w:val="24"/>
        </w:rPr>
        <w:t>Officer.</w:t>
      </w:r>
    </w:p>
    <w:p w14:paraId="643CDCDB" w14:textId="77777777" w:rsidR="00F97A0D" w:rsidRPr="00F97A0D" w:rsidRDefault="00F97A0D" w:rsidP="00F97A0D">
      <w:pPr>
        <w:tabs>
          <w:tab w:val="left" w:pos="720"/>
          <w:tab w:val="left" w:pos="1440"/>
        </w:tabs>
        <w:jc w:val="both"/>
        <w:rPr>
          <w:rFonts w:ascii="Garamond" w:eastAsiaTheme="majorEastAsia" w:hAnsi="Garamond" w:cs="Arial"/>
          <w:kern w:val="32"/>
          <w:sz w:val="24"/>
          <w:szCs w:val="24"/>
        </w:rPr>
      </w:pPr>
    </w:p>
    <w:p w14:paraId="0EE58F62" w14:textId="71D2D6EE" w:rsidR="00F97A0D" w:rsidRPr="00F97A0D" w:rsidRDefault="00F97A0D" w:rsidP="00F97A0D">
      <w:pPr>
        <w:tabs>
          <w:tab w:val="left" w:pos="720"/>
          <w:tab w:val="left" w:pos="1440"/>
        </w:tabs>
        <w:jc w:val="both"/>
        <w:rPr>
          <w:rFonts w:ascii="Garamond" w:eastAsiaTheme="majorEastAsia" w:hAnsi="Garamond" w:cs="Arial"/>
          <w:strike/>
          <w:kern w:val="32"/>
          <w:sz w:val="24"/>
          <w:szCs w:val="24"/>
        </w:rPr>
      </w:pPr>
      <w:r w:rsidRPr="00F97A0D">
        <w:rPr>
          <w:rFonts w:ascii="Garamond" w:eastAsiaTheme="majorEastAsia" w:hAnsi="Garamond" w:cs="Arial"/>
          <w:kern w:val="32"/>
          <w:sz w:val="24"/>
          <w:szCs w:val="24"/>
        </w:rPr>
        <w:t>38.3.5.2 Filing Period: Such notification of desire to go to arbitration must be</w:t>
      </w:r>
      <w:r>
        <w:rPr>
          <w:rFonts w:ascii="Garamond" w:eastAsiaTheme="majorEastAsia" w:hAnsi="Garamond" w:cs="Arial"/>
          <w:kern w:val="32"/>
          <w:sz w:val="24"/>
          <w:szCs w:val="24"/>
        </w:rPr>
        <w:t xml:space="preserve"> </w:t>
      </w:r>
      <w:r w:rsidRPr="00F97A0D">
        <w:rPr>
          <w:rFonts w:ascii="Garamond" w:eastAsiaTheme="majorEastAsia" w:hAnsi="Garamond" w:cs="Arial"/>
          <w:kern w:val="32"/>
          <w:sz w:val="24"/>
          <w:szCs w:val="24"/>
        </w:rPr>
        <w:t>filed in writing with the Grievance Appeal Officer within thirty (30) days</w:t>
      </w:r>
      <w:r>
        <w:rPr>
          <w:rFonts w:ascii="Garamond" w:eastAsiaTheme="majorEastAsia" w:hAnsi="Garamond" w:cs="Arial"/>
          <w:kern w:val="32"/>
          <w:sz w:val="24"/>
          <w:szCs w:val="24"/>
        </w:rPr>
        <w:t xml:space="preserve"> </w:t>
      </w:r>
      <w:r w:rsidRPr="00F97A0D">
        <w:rPr>
          <w:rFonts w:ascii="Garamond" w:eastAsiaTheme="majorEastAsia" w:hAnsi="Garamond" w:cs="Arial"/>
          <w:kern w:val="32"/>
          <w:sz w:val="24"/>
          <w:szCs w:val="24"/>
        </w:rPr>
        <w:t>of the conclusion of Step 3 with a copy to the Director of Human</w:t>
      </w:r>
      <w:r>
        <w:rPr>
          <w:rFonts w:ascii="Garamond" w:eastAsiaTheme="majorEastAsia" w:hAnsi="Garamond" w:cs="Arial"/>
          <w:kern w:val="32"/>
          <w:sz w:val="24"/>
          <w:szCs w:val="24"/>
        </w:rPr>
        <w:t xml:space="preserve"> </w:t>
      </w:r>
      <w:r w:rsidRPr="00F97A0D">
        <w:rPr>
          <w:rFonts w:ascii="Garamond" w:eastAsiaTheme="majorEastAsia" w:hAnsi="Garamond" w:cs="Arial"/>
          <w:kern w:val="32"/>
          <w:sz w:val="24"/>
          <w:szCs w:val="24"/>
        </w:rPr>
        <w:t xml:space="preserve">Resources. </w:t>
      </w:r>
      <w:r w:rsidRPr="00F97A0D">
        <w:rPr>
          <w:rFonts w:ascii="Garamond" w:eastAsiaTheme="majorEastAsia" w:hAnsi="Garamond" w:cs="Arial"/>
          <w:strike/>
          <w:kern w:val="32"/>
          <w:sz w:val="24"/>
          <w:szCs w:val="24"/>
        </w:rPr>
        <w:t>Provided further that the Union shall forward to the City the</w:t>
      </w:r>
      <w:r w:rsidRPr="00F97A0D">
        <w:rPr>
          <w:rFonts w:ascii="Garamond" w:eastAsiaTheme="majorEastAsia" w:hAnsi="Garamond" w:cs="Arial"/>
          <w:strike/>
          <w:kern w:val="32"/>
          <w:sz w:val="24"/>
          <w:szCs w:val="24"/>
        </w:rPr>
        <w:t xml:space="preserve"> </w:t>
      </w:r>
      <w:r w:rsidRPr="00F97A0D">
        <w:rPr>
          <w:rFonts w:ascii="Garamond" w:eastAsiaTheme="majorEastAsia" w:hAnsi="Garamond" w:cs="Arial"/>
          <w:strike/>
          <w:kern w:val="32"/>
          <w:sz w:val="24"/>
          <w:szCs w:val="24"/>
        </w:rPr>
        <w:t>Union’s portion of the California State Mediation and Conciliation</w:t>
      </w:r>
      <w:r w:rsidRPr="00F97A0D">
        <w:rPr>
          <w:rFonts w:ascii="Garamond" w:eastAsiaTheme="majorEastAsia" w:hAnsi="Garamond" w:cs="Arial"/>
          <w:strike/>
          <w:kern w:val="32"/>
          <w:sz w:val="24"/>
          <w:szCs w:val="24"/>
        </w:rPr>
        <w:t xml:space="preserve"> </w:t>
      </w:r>
      <w:r w:rsidRPr="00F97A0D">
        <w:rPr>
          <w:rFonts w:ascii="Garamond" w:eastAsiaTheme="majorEastAsia" w:hAnsi="Garamond" w:cs="Arial"/>
          <w:strike/>
          <w:kern w:val="32"/>
          <w:sz w:val="24"/>
          <w:szCs w:val="24"/>
        </w:rPr>
        <w:t>Services (CSMCS) fee within sixty (60) days of receipt of the City</w:t>
      </w:r>
      <w:r w:rsidRPr="00F97A0D">
        <w:rPr>
          <w:rFonts w:ascii="Garamond" w:eastAsiaTheme="majorEastAsia" w:hAnsi="Garamond" w:cs="Arial"/>
          <w:strike/>
          <w:kern w:val="32"/>
          <w:sz w:val="24"/>
          <w:szCs w:val="24"/>
        </w:rPr>
        <w:t xml:space="preserve"> </w:t>
      </w:r>
      <w:r w:rsidRPr="00F97A0D">
        <w:rPr>
          <w:rFonts w:ascii="Garamond" w:eastAsiaTheme="majorEastAsia" w:hAnsi="Garamond" w:cs="Arial"/>
          <w:strike/>
          <w:kern w:val="32"/>
          <w:sz w:val="24"/>
          <w:szCs w:val="24"/>
        </w:rPr>
        <w:t>Manager’s response. Failure by the Union to meet either the thirty (30)</w:t>
      </w:r>
      <w:r w:rsidRPr="00F97A0D">
        <w:rPr>
          <w:rFonts w:ascii="Garamond" w:eastAsiaTheme="majorEastAsia" w:hAnsi="Garamond" w:cs="Arial"/>
          <w:strike/>
          <w:kern w:val="32"/>
          <w:sz w:val="24"/>
          <w:szCs w:val="24"/>
        </w:rPr>
        <w:t xml:space="preserve"> </w:t>
      </w:r>
      <w:r w:rsidRPr="00F97A0D">
        <w:rPr>
          <w:rFonts w:ascii="Garamond" w:eastAsiaTheme="majorEastAsia" w:hAnsi="Garamond" w:cs="Arial"/>
          <w:strike/>
          <w:kern w:val="32"/>
          <w:sz w:val="24"/>
          <w:szCs w:val="24"/>
        </w:rPr>
        <w:t>day or sixty (60) day deadline for both referral to Arbitration and payment</w:t>
      </w:r>
      <w:r w:rsidRPr="00F97A0D">
        <w:rPr>
          <w:rFonts w:ascii="Garamond" w:eastAsiaTheme="majorEastAsia" w:hAnsi="Garamond" w:cs="Arial"/>
          <w:strike/>
          <w:kern w:val="32"/>
          <w:sz w:val="24"/>
          <w:szCs w:val="24"/>
        </w:rPr>
        <w:t xml:space="preserve"> </w:t>
      </w:r>
      <w:r w:rsidRPr="00F97A0D">
        <w:rPr>
          <w:rFonts w:ascii="Garamond" w:eastAsiaTheme="majorEastAsia" w:hAnsi="Garamond" w:cs="Arial"/>
          <w:strike/>
          <w:kern w:val="32"/>
          <w:sz w:val="24"/>
          <w:szCs w:val="24"/>
        </w:rPr>
        <w:t>of the CSMCS fee shall be deemed as a full and complete waiver by the</w:t>
      </w:r>
      <w:r w:rsidRPr="00F97A0D">
        <w:rPr>
          <w:rFonts w:ascii="Garamond" w:eastAsiaTheme="majorEastAsia" w:hAnsi="Garamond" w:cs="Arial"/>
          <w:strike/>
          <w:kern w:val="32"/>
          <w:sz w:val="24"/>
          <w:szCs w:val="24"/>
        </w:rPr>
        <w:t xml:space="preserve"> </w:t>
      </w:r>
      <w:r w:rsidRPr="00F97A0D">
        <w:rPr>
          <w:rFonts w:ascii="Garamond" w:eastAsiaTheme="majorEastAsia" w:hAnsi="Garamond" w:cs="Arial"/>
          <w:strike/>
          <w:kern w:val="32"/>
          <w:sz w:val="24"/>
          <w:szCs w:val="24"/>
        </w:rPr>
        <w:t>Union to appeal the City Manager decision to Arbitration and the City</w:t>
      </w:r>
      <w:r w:rsidRPr="00F97A0D">
        <w:rPr>
          <w:rFonts w:ascii="Garamond" w:eastAsiaTheme="majorEastAsia" w:hAnsi="Garamond" w:cs="Arial"/>
          <w:strike/>
          <w:kern w:val="32"/>
          <w:sz w:val="24"/>
          <w:szCs w:val="24"/>
        </w:rPr>
        <w:t xml:space="preserve"> </w:t>
      </w:r>
      <w:r w:rsidRPr="00F97A0D">
        <w:rPr>
          <w:rFonts w:ascii="Garamond" w:eastAsiaTheme="majorEastAsia" w:hAnsi="Garamond" w:cs="Arial"/>
          <w:strike/>
          <w:kern w:val="32"/>
          <w:sz w:val="24"/>
          <w:szCs w:val="24"/>
        </w:rPr>
        <w:t>Manager decision shall be final and binding on all parties.</w:t>
      </w:r>
    </w:p>
    <w:p w14:paraId="7C467788" w14:textId="77777777" w:rsidR="00F97A0D" w:rsidRDefault="00F97A0D" w:rsidP="00F97A0D">
      <w:pPr>
        <w:tabs>
          <w:tab w:val="left" w:pos="720"/>
          <w:tab w:val="left" w:pos="1440"/>
        </w:tabs>
        <w:jc w:val="both"/>
        <w:rPr>
          <w:rFonts w:ascii="Garamond" w:eastAsiaTheme="majorEastAsia" w:hAnsi="Garamond" w:cs="Arial"/>
          <w:kern w:val="32"/>
          <w:sz w:val="24"/>
          <w:szCs w:val="24"/>
        </w:rPr>
      </w:pPr>
    </w:p>
    <w:p w14:paraId="65DA309A" w14:textId="77777777" w:rsidR="00F97A0D" w:rsidRDefault="00F97A0D" w:rsidP="00F97A0D">
      <w:pPr>
        <w:tabs>
          <w:tab w:val="left" w:pos="720"/>
          <w:tab w:val="left" w:pos="1440"/>
        </w:tabs>
        <w:jc w:val="both"/>
        <w:rPr>
          <w:rFonts w:ascii="Garamond" w:eastAsiaTheme="majorEastAsia" w:hAnsi="Garamond" w:cs="Arial"/>
          <w:kern w:val="32"/>
          <w:sz w:val="24"/>
          <w:szCs w:val="24"/>
        </w:rPr>
      </w:pPr>
      <w:r w:rsidRPr="00F97A0D">
        <w:rPr>
          <w:rFonts w:ascii="Garamond" w:eastAsiaTheme="majorEastAsia" w:hAnsi="Garamond" w:cs="Arial"/>
          <w:kern w:val="32"/>
          <w:sz w:val="24"/>
          <w:szCs w:val="24"/>
        </w:rPr>
        <w:t xml:space="preserve">38.3.5.3 Process: </w:t>
      </w:r>
      <w:r w:rsidRPr="00F97A0D">
        <w:rPr>
          <w:rFonts w:ascii="Garamond" w:eastAsiaTheme="majorEastAsia" w:hAnsi="Garamond" w:cs="Arial"/>
          <w:strike/>
          <w:kern w:val="32"/>
          <w:sz w:val="24"/>
          <w:szCs w:val="24"/>
        </w:rPr>
        <w:t xml:space="preserve">The impartial arbitrator shall be selected from the California State Mediation and Conciliation Services (CSMCS) unless another party is mutually agreed upon. CSMCS will provide a list of five (5) arbitrators. The </w:t>
      </w:r>
      <w:proofErr w:type="gramStart"/>
      <w:r w:rsidRPr="00F97A0D">
        <w:rPr>
          <w:rFonts w:ascii="Garamond" w:eastAsiaTheme="majorEastAsia" w:hAnsi="Garamond" w:cs="Arial"/>
          <w:strike/>
          <w:kern w:val="32"/>
          <w:sz w:val="24"/>
          <w:szCs w:val="24"/>
        </w:rPr>
        <w:t>City</w:t>
      </w:r>
      <w:proofErr w:type="gramEnd"/>
      <w:r w:rsidRPr="00F97A0D">
        <w:rPr>
          <w:rFonts w:ascii="Garamond" w:eastAsiaTheme="majorEastAsia" w:hAnsi="Garamond" w:cs="Arial"/>
          <w:strike/>
          <w:kern w:val="32"/>
          <w:sz w:val="24"/>
          <w:szCs w:val="24"/>
        </w:rPr>
        <w:t xml:space="preserve"> and the Union will alternately strike a name until one remains. The remaining name will be the arbitrator.</w:t>
      </w:r>
      <w:r w:rsidRPr="00F97A0D">
        <w:rPr>
          <w:rFonts w:ascii="Garamond" w:eastAsiaTheme="majorEastAsia" w:hAnsi="Garamond" w:cs="Arial"/>
          <w:kern w:val="32"/>
          <w:sz w:val="24"/>
          <w:szCs w:val="24"/>
        </w:rPr>
        <w:t xml:space="preserve"> </w:t>
      </w:r>
    </w:p>
    <w:p w14:paraId="53FB1834" w14:textId="77777777" w:rsidR="00F97A0D" w:rsidRDefault="00F97A0D" w:rsidP="00F97A0D">
      <w:pPr>
        <w:tabs>
          <w:tab w:val="left" w:pos="720"/>
          <w:tab w:val="left" w:pos="1440"/>
        </w:tabs>
        <w:jc w:val="both"/>
        <w:rPr>
          <w:rFonts w:ascii="Garamond" w:eastAsiaTheme="majorEastAsia" w:hAnsi="Garamond" w:cs="Arial"/>
          <w:kern w:val="32"/>
          <w:sz w:val="24"/>
          <w:szCs w:val="24"/>
        </w:rPr>
      </w:pPr>
    </w:p>
    <w:p w14:paraId="0169F9C9" w14:textId="77777777" w:rsidR="00F97A0D" w:rsidRPr="00F97A0D" w:rsidRDefault="00F97A0D" w:rsidP="00F97A0D">
      <w:pPr>
        <w:spacing w:after="160" w:line="259" w:lineRule="auto"/>
        <w:contextualSpacing/>
        <w:rPr>
          <w:rFonts w:ascii="Garamond" w:eastAsia="Calibri" w:hAnsi="Garamond" w:cs="Arial"/>
          <w:sz w:val="24"/>
          <w:szCs w:val="24"/>
          <w:u w:val="single"/>
        </w:rPr>
      </w:pPr>
      <w:r w:rsidRPr="00F97A0D">
        <w:rPr>
          <w:rFonts w:ascii="Garamond" w:eastAsia="Calibri" w:hAnsi="Garamond" w:cs="Arial"/>
          <w:sz w:val="24"/>
          <w:szCs w:val="24"/>
          <w:u w:val="single"/>
        </w:rPr>
        <w:t xml:space="preserve">An impartial arbitrator shall be selected on a </w:t>
      </w:r>
      <w:r w:rsidRPr="00F97A0D">
        <w:rPr>
          <w:rFonts w:ascii="Garamond" w:eastAsia="Calibri" w:hAnsi="Garamond" w:cs="Arial"/>
          <w:color w:val="212121"/>
          <w:sz w:val="24"/>
          <w:szCs w:val="24"/>
          <w:u w:val="single"/>
        </w:rPr>
        <w:t xml:space="preserve">rotating basis using the list below. </w:t>
      </w:r>
    </w:p>
    <w:p w14:paraId="4C263D2E" w14:textId="77777777" w:rsidR="00F97A0D" w:rsidRDefault="00F97A0D" w:rsidP="00F97A0D">
      <w:pPr>
        <w:spacing w:after="160" w:line="259" w:lineRule="auto"/>
        <w:contextualSpacing/>
        <w:rPr>
          <w:rFonts w:ascii="Garamond" w:eastAsia="Calibri" w:hAnsi="Garamond" w:cs="Arial"/>
          <w:sz w:val="24"/>
          <w:szCs w:val="24"/>
        </w:rPr>
      </w:pPr>
    </w:p>
    <w:p w14:paraId="6588954D" w14:textId="7DEF857E" w:rsidR="00F97A0D" w:rsidRPr="00F97A0D" w:rsidRDefault="00F97A0D" w:rsidP="00F97A0D">
      <w:pPr>
        <w:spacing w:after="160" w:line="259" w:lineRule="auto"/>
        <w:contextualSpacing/>
        <w:rPr>
          <w:rFonts w:ascii="Garamond" w:eastAsia="Calibri" w:hAnsi="Garamond" w:cs="Arial"/>
          <w:i/>
          <w:iCs/>
          <w:sz w:val="24"/>
          <w:szCs w:val="24"/>
        </w:rPr>
      </w:pPr>
      <w:r>
        <w:rPr>
          <w:rFonts w:ascii="Garamond" w:eastAsia="Calibri" w:hAnsi="Garamond" w:cs="Arial"/>
          <w:i/>
          <w:iCs/>
          <w:sz w:val="24"/>
          <w:szCs w:val="24"/>
        </w:rPr>
        <w:t xml:space="preserve">The Union offers this list and the </w:t>
      </w:r>
      <w:proofErr w:type="gramStart"/>
      <w:r>
        <w:rPr>
          <w:rFonts w:ascii="Garamond" w:eastAsia="Calibri" w:hAnsi="Garamond" w:cs="Arial"/>
          <w:i/>
          <w:iCs/>
          <w:sz w:val="24"/>
          <w:szCs w:val="24"/>
        </w:rPr>
        <w:t>City</w:t>
      </w:r>
      <w:proofErr w:type="gramEnd"/>
      <w:r>
        <w:rPr>
          <w:rFonts w:ascii="Garamond" w:eastAsia="Calibri" w:hAnsi="Garamond" w:cs="Arial"/>
          <w:i/>
          <w:iCs/>
          <w:sz w:val="24"/>
          <w:szCs w:val="24"/>
        </w:rPr>
        <w:t xml:space="preserve"> can pick </w:t>
      </w:r>
      <w:proofErr w:type="gramStart"/>
      <w:r>
        <w:rPr>
          <w:rFonts w:ascii="Garamond" w:eastAsia="Calibri" w:hAnsi="Garamond" w:cs="Arial"/>
          <w:i/>
          <w:iCs/>
          <w:sz w:val="24"/>
          <w:szCs w:val="24"/>
        </w:rPr>
        <w:t>any</w:t>
      </w:r>
      <w:proofErr w:type="gramEnd"/>
      <w:r>
        <w:rPr>
          <w:rFonts w:ascii="Garamond" w:eastAsia="Calibri" w:hAnsi="Garamond" w:cs="Arial"/>
          <w:i/>
          <w:iCs/>
          <w:sz w:val="24"/>
          <w:szCs w:val="24"/>
        </w:rPr>
        <w:t xml:space="preserve"> five arbitrators from this list.</w:t>
      </w:r>
    </w:p>
    <w:p w14:paraId="771CCB33" w14:textId="77777777" w:rsidR="00F97A0D" w:rsidRPr="00F97A0D" w:rsidRDefault="00F97A0D" w:rsidP="00F97A0D">
      <w:pPr>
        <w:pStyle w:val="ListParagraph"/>
        <w:numPr>
          <w:ilvl w:val="0"/>
          <w:numId w:val="3"/>
        </w:numPr>
        <w:spacing w:after="160" w:line="259" w:lineRule="auto"/>
        <w:rPr>
          <w:rFonts w:ascii="Garamond" w:eastAsia="Calibri" w:hAnsi="Garamond" w:cs="Arial"/>
          <w:sz w:val="24"/>
          <w:szCs w:val="24"/>
          <w:u w:val="single"/>
        </w:rPr>
      </w:pPr>
      <w:r w:rsidRPr="00F97A0D">
        <w:rPr>
          <w:rFonts w:ascii="Garamond" w:eastAsia="Calibri" w:hAnsi="Garamond" w:cs="Arial"/>
          <w:sz w:val="24"/>
          <w:szCs w:val="24"/>
          <w:u w:val="single"/>
        </w:rPr>
        <w:t>John LaRocco</w:t>
      </w:r>
    </w:p>
    <w:p w14:paraId="26AC6468" w14:textId="77777777" w:rsidR="00F97A0D" w:rsidRPr="00F97A0D" w:rsidRDefault="00F97A0D" w:rsidP="00F97A0D">
      <w:pPr>
        <w:pStyle w:val="ListParagraph"/>
        <w:numPr>
          <w:ilvl w:val="0"/>
          <w:numId w:val="3"/>
        </w:numPr>
        <w:spacing w:after="160" w:line="259" w:lineRule="auto"/>
        <w:rPr>
          <w:rFonts w:ascii="Garamond" w:eastAsia="Calibri" w:hAnsi="Garamond" w:cs="Arial"/>
          <w:sz w:val="24"/>
          <w:szCs w:val="24"/>
          <w:u w:val="single"/>
        </w:rPr>
      </w:pPr>
      <w:r w:rsidRPr="00F97A0D">
        <w:rPr>
          <w:rFonts w:ascii="Garamond" w:eastAsia="Calibri" w:hAnsi="Garamond" w:cs="Arial"/>
          <w:sz w:val="24"/>
          <w:szCs w:val="24"/>
          <w:u w:val="single"/>
        </w:rPr>
        <w:t>Paul Roose</w:t>
      </w:r>
    </w:p>
    <w:p w14:paraId="3E94AD71" w14:textId="77777777" w:rsidR="00F97A0D" w:rsidRPr="00F97A0D" w:rsidRDefault="00F97A0D" w:rsidP="00F97A0D">
      <w:pPr>
        <w:pStyle w:val="ListParagraph"/>
        <w:numPr>
          <w:ilvl w:val="0"/>
          <w:numId w:val="3"/>
        </w:numPr>
        <w:spacing w:after="160" w:line="259" w:lineRule="auto"/>
        <w:rPr>
          <w:rFonts w:ascii="Garamond" w:eastAsia="Calibri" w:hAnsi="Garamond" w:cs="Arial"/>
          <w:sz w:val="24"/>
          <w:szCs w:val="24"/>
          <w:u w:val="single"/>
        </w:rPr>
      </w:pPr>
      <w:r w:rsidRPr="00F97A0D">
        <w:rPr>
          <w:rFonts w:ascii="Garamond" w:eastAsia="Calibri" w:hAnsi="Garamond" w:cs="Arial"/>
          <w:sz w:val="24"/>
          <w:szCs w:val="24"/>
          <w:u w:val="single"/>
        </w:rPr>
        <w:t>Cheryl Stevens</w:t>
      </w:r>
    </w:p>
    <w:p w14:paraId="68CEA2B6" w14:textId="77777777" w:rsidR="00F97A0D" w:rsidRPr="00F97A0D" w:rsidRDefault="00F97A0D" w:rsidP="00F97A0D">
      <w:pPr>
        <w:pStyle w:val="ListParagraph"/>
        <w:numPr>
          <w:ilvl w:val="0"/>
          <w:numId w:val="3"/>
        </w:numPr>
        <w:spacing w:after="160" w:line="259" w:lineRule="auto"/>
        <w:rPr>
          <w:rFonts w:ascii="Garamond" w:eastAsia="Calibri" w:hAnsi="Garamond" w:cs="Arial"/>
          <w:sz w:val="24"/>
          <w:szCs w:val="24"/>
          <w:u w:val="single"/>
        </w:rPr>
      </w:pPr>
      <w:r w:rsidRPr="00F97A0D">
        <w:rPr>
          <w:rFonts w:ascii="Garamond" w:eastAsia="Calibri" w:hAnsi="Garamond" w:cs="Arial"/>
          <w:sz w:val="24"/>
          <w:szCs w:val="24"/>
          <w:u w:val="single"/>
        </w:rPr>
        <w:t>Katherine Thomson</w:t>
      </w:r>
    </w:p>
    <w:p w14:paraId="5A451813" w14:textId="77777777" w:rsidR="00F97A0D" w:rsidRDefault="00F97A0D" w:rsidP="00F97A0D">
      <w:pPr>
        <w:pStyle w:val="ListParagraph"/>
        <w:numPr>
          <w:ilvl w:val="0"/>
          <w:numId w:val="3"/>
        </w:numPr>
        <w:spacing w:after="160" w:line="259" w:lineRule="auto"/>
        <w:rPr>
          <w:rFonts w:ascii="Garamond" w:eastAsia="Calibri" w:hAnsi="Garamond" w:cs="Arial"/>
          <w:sz w:val="24"/>
          <w:szCs w:val="24"/>
          <w:u w:val="single"/>
        </w:rPr>
      </w:pPr>
      <w:r w:rsidRPr="00F97A0D">
        <w:rPr>
          <w:rFonts w:ascii="Garamond" w:eastAsia="Calibri" w:hAnsi="Garamond" w:cs="Arial"/>
          <w:sz w:val="24"/>
          <w:szCs w:val="24"/>
          <w:u w:val="single"/>
        </w:rPr>
        <w:t>David Weinberg</w:t>
      </w:r>
    </w:p>
    <w:p w14:paraId="7124D27C" w14:textId="77777777" w:rsidR="00F97A0D" w:rsidRPr="00F97A0D" w:rsidRDefault="00F97A0D" w:rsidP="00F97A0D">
      <w:pPr>
        <w:pStyle w:val="ListParagraph"/>
        <w:numPr>
          <w:ilvl w:val="0"/>
          <w:numId w:val="3"/>
        </w:numPr>
        <w:rPr>
          <w:rFonts w:ascii="Garamond" w:hAnsi="Garamond"/>
          <w:sz w:val="24"/>
          <w:szCs w:val="24"/>
          <w:u w:val="single"/>
        </w:rPr>
      </w:pPr>
      <w:r w:rsidRPr="00F97A0D">
        <w:rPr>
          <w:rFonts w:ascii="Garamond" w:hAnsi="Garamond"/>
          <w:sz w:val="24"/>
          <w:szCs w:val="24"/>
          <w:u w:val="single"/>
        </w:rPr>
        <w:t>Claude Ames</w:t>
      </w:r>
    </w:p>
    <w:p w14:paraId="2CABD2E3" w14:textId="77777777" w:rsidR="00F97A0D" w:rsidRPr="00F97A0D" w:rsidRDefault="00F97A0D" w:rsidP="00F97A0D">
      <w:pPr>
        <w:pStyle w:val="ListParagraph"/>
        <w:numPr>
          <w:ilvl w:val="0"/>
          <w:numId w:val="3"/>
        </w:numPr>
        <w:rPr>
          <w:rFonts w:ascii="Garamond" w:hAnsi="Garamond"/>
          <w:sz w:val="24"/>
          <w:szCs w:val="24"/>
          <w:u w:val="single"/>
        </w:rPr>
      </w:pPr>
      <w:r w:rsidRPr="00F97A0D">
        <w:rPr>
          <w:rFonts w:ascii="Garamond" w:hAnsi="Garamond"/>
          <w:sz w:val="24"/>
          <w:szCs w:val="24"/>
          <w:u w:val="single"/>
        </w:rPr>
        <w:t>Fred Butler</w:t>
      </w:r>
    </w:p>
    <w:p w14:paraId="56C62169" w14:textId="77777777" w:rsidR="00F97A0D" w:rsidRPr="00F97A0D" w:rsidRDefault="00F97A0D" w:rsidP="00F97A0D">
      <w:pPr>
        <w:pStyle w:val="ListParagraph"/>
        <w:numPr>
          <w:ilvl w:val="0"/>
          <w:numId w:val="3"/>
        </w:numPr>
        <w:rPr>
          <w:rFonts w:ascii="Garamond" w:hAnsi="Garamond"/>
          <w:sz w:val="24"/>
          <w:szCs w:val="24"/>
          <w:u w:val="single"/>
        </w:rPr>
      </w:pPr>
      <w:r w:rsidRPr="00F97A0D">
        <w:rPr>
          <w:rFonts w:ascii="Garamond" w:hAnsi="Garamond"/>
          <w:sz w:val="24"/>
          <w:szCs w:val="24"/>
          <w:u w:val="single"/>
        </w:rPr>
        <w:t xml:space="preserve">David </w:t>
      </w:r>
      <w:proofErr w:type="spellStart"/>
      <w:r w:rsidRPr="00F97A0D">
        <w:rPr>
          <w:rFonts w:ascii="Garamond" w:hAnsi="Garamond"/>
          <w:sz w:val="24"/>
          <w:szCs w:val="24"/>
          <w:u w:val="single"/>
        </w:rPr>
        <w:t>Handsher</w:t>
      </w:r>
      <w:proofErr w:type="spellEnd"/>
    </w:p>
    <w:p w14:paraId="09FC95E9" w14:textId="77777777" w:rsidR="00F97A0D" w:rsidRPr="00F97A0D" w:rsidRDefault="00F97A0D" w:rsidP="00F97A0D">
      <w:pPr>
        <w:pStyle w:val="ListParagraph"/>
        <w:numPr>
          <w:ilvl w:val="0"/>
          <w:numId w:val="3"/>
        </w:numPr>
        <w:rPr>
          <w:rFonts w:ascii="Garamond" w:eastAsia="Garamond" w:hAnsi="Garamond" w:cs="Garamond"/>
          <w:sz w:val="24"/>
          <w:szCs w:val="24"/>
          <w:u w:val="single"/>
        </w:rPr>
      </w:pPr>
      <w:r w:rsidRPr="00F97A0D">
        <w:rPr>
          <w:rFonts w:ascii="Garamond" w:eastAsia="Garamond" w:hAnsi="Garamond" w:cs="Garamond"/>
          <w:sz w:val="24"/>
          <w:szCs w:val="24"/>
          <w:u w:val="single"/>
        </w:rPr>
        <w:t>Najeeb Khoury</w:t>
      </w:r>
    </w:p>
    <w:p w14:paraId="08662279" w14:textId="77777777" w:rsidR="00F97A0D" w:rsidRPr="00F97A0D" w:rsidRDefault="00F97A0D" w:rsidP="00F97A0D">
      <w:pPr>
        <w:pStyle w:val="ListParagraph"/>
        <w:numPr>
          <w:ilvl w:val="0"/>
          <w:numId w:val="3"/>
        </w:numPr>
        <w:rPr>
          <w:rFonts w:ascii="Garamond" w:hAnsi="Garamond"/>
          <w:sz w:val="24"/>
          <w:szCs w:val="24"/>
          <w:u w:val="single"/>
        </w:rPr>
      </w:pPr>
      <w:r w:rsidRPr="00F97A0D">
        <w:rPr>
          <w:rFonts w:ascii="Garamond" w:hAnsi="Garamond"/>
          <w:sz w:val="24"/>
          <w:szCs w:val="24"/>
          <w:u w:val="single"/>
        </w:rPr>
        <w:t>Yuval Miller</w:t>
      </w:r>
    </w:p>
    <w:p w14:paraId="41519097" w14:textId="66675814" w:rsidR="00F97A0D" w:rsidRPr="00F97A0D" w:rsidRDefault="00F97A0D" w:rsidP="00F97A0D">
      <w:pPr>
        <w:pStyle w:val="ListParagraph"/>
        <w:numPr>
          <w:ilvl w:val="0"/>
          <w:numId w:val="3"/>
        </w:numPr>
        <w:spacing w:after="160" w:line="259" w:lineRule="auto"/>
        <w:rPr>
          <w:rFonts w:ascii="Garamond" w:eastAsia="Calibri" w:hAnsi="Garamond" w:cs="Arial"/>
          <w:sz w:val="24"/>
          <w:szCs w:val="24"/>
          <w:u w:val="single"/>
        </w:rPr>
      </w:pPr>
      <w:r w:rsidRPr="00F97A0D">
        <w:rPr>
          <w:rFonts w:ascii="Garamond" w:eastAsia="Garamond" w:hAnsi="Garamond" w:cs="Garamond"/>
          <w:sz w:val="24"/>
          <w:szCs w:val="24"/>
          <w:u w:val="single"/>
        </w:rPr>
        <w:t>Joel Schaffer</w:t>
      </w:r>
    </w:p>
    <w:p w14:paraId="6546A9A0" w14:textId="5B111AAB" w:rsidR="00F97A0D" w:rsidRPr="00F97A0D" w:rsidRDefault="00F97A0D" w:rsidP="00F97A0D">
      <w:pPr>
        <w:pStyle w:val="ListParagraph"/>
        <w:numPr>
          <w:ilvl w:val="0"/>
          <w:numId w:val="3"/>
        </w:numPr>
        <w:spacing w:after="160" w:line="259" w:lineRule="auto"/>
        <w:rPr>
          <w:rFonts w:ascii="Garamond" w:eastAsia="Calibri" w:hAnsi="Garamond" w:cs="Arial"/>
          <w:sz w:val="24"/>
          <w:szCs w:val="24"/>
          <w:u w:val="single"/>
        </w:rPr>
      </w:pPr>
      <w:r w:rsidRPr="00F97A0D">
        <w:rPr>
          <w:rFonts w:ascii="Garamond" w:eastAsia="Garamond" w:hAnsi="Garamond" w:cs="Garamond"/>
          <w:sz w:val="24"/>
          <w:szCs w:val="24"/>
          <w:u w:val="single"/>
        </w:rPr>
        <w:t>Greg Lim</w:t>
      </w:r>
    </w:p>
    <w:p w14:paraId="27B989B0" w14:textId="77777777" w:rsidR="00F97A0D" w:rsidRPr="00627CE8" w:rsidRDefault="00F97A0D" w:rsidP="00F97A0D">
      <w:pPr>
        <w:spacing w:after="160" w:line="259" w:lineRule="auto"/>
        <w:ind w:left="2160"/>
        <w:contextualSpacing/>
        <w:rPr>
          <w:rFonts w:ascii="Garamond" w:eastAsia="Calibri" w:hAnsi="Garamond" w:cs="Arial"/>
          <w:strike/>
          <w:sz w:val="24"/>
          <w:szCs w:val="24"/>
        </w:rPr>
      </w:pPr>
    </w:p>
    <w:p w14:paraId="13E3F749" w14:textId="77777777" w:rsidR="00F97A0D" w:rsidRPr="00627CE8" w:rsidRDefault="00F97A0D" w:rsidP="00F97A0D">
      <w:pPr>
        <w:spacing w:after="160" w:line="259" w:lineRule="auto"/>
        <w:ind w:firstLine="720"/>
        <w:rPr>
          <w:rFonts w:ascii="Garamond" w:eastAsia="Calibri" w:hAnsi="Garamond" w:cs="Arial"/>
          <w:color w:val="212121"/>
          <w:sz w:val="24"/>
          <w:szCs w:val="24"/>
          <w:u w:val="single"/>
        </w:rPr>
      </w:pPr>
      <w:r w:rsidRPr="00627CE8">
        <w:rPr>
          <w:rFonts w:ascii="Garamond" w:eastAsia="Calibri" w:hAnsi="Garamond" w:cs="Arial"/>
          <w:color w:val="212121"/>
          <w:sz w:val="24"/>
          <w:szCs w:val="24"/>
          <w:u w:val="single"/>
        </w:rPr>
        <w:t>The first arbitration shall utilize the first arbitrator on the list and each arbitrator will be used in succession until each arbitrator on the list has been utilized, at which point the next arbitration will be heard by the first arbitrator on the list.</w:t>
      </w:r>
    </w:p>
    <w:p w14:paraId="2CE8250E" w14:textId="77777777" w:rsidR="00F97A0D" w:rsidRPr="00F97A0D" w:rsidRDefault="00F97A0D" w:rsidP="00C522F5">
      <w:pPr>
        <w:spacing w:after="160" w:line="259" w:lineRule="auto"/>
        <w:contextualSpacing/>
        <w:rPr>
          <w:rFonts w:ascii="Garamond" w:eastAsia="Calibri" w:hAnsi="Garamond" w:cs="Arial"/>
          <w:sz w:val="24"/>
          <w:szCs w:val="24"/>
          <w:u w:val="single"/>
        </w:rPr>
      </w:pPr>
      <w:r w:rsidRPr="00627CE8">
        <w:rPr>
          <w:rFonts w:ascii="Garamond" w:eastAsia="Calibri" w:hAnsi="Garamond" w:cs="Arial"/>
          <w:sz w:val="24"/>
          <w:szCs w:val="24"/>
          <w:u w:val="single"/>
        </w:rPr>
        <w:t xml:space="preserve">Once a matter has been appealed to arbitration, the </w:t>
      </w:r>
      <w:r>
        <w:rPr>
          <w:rFonts w:ascii="Garamond" w:eastAsia="Calibri" w:hAnsi="Garamond" w:cs="Arial"/>
          <w:sz w:val="24"/>
          <w:szCs w:val="24"/>
          <w:u w:val="single"/>
        </w:rPr>
        <w:t>City</w:t>
      </w:r>
      <w:r w:rsidRPr="00627CE8">
        <w:rPr>
          <w:rFonts w:ascii="Garamond" w:eastAsia="Calibri" w:hAnsi="Garamond" w:cs="Arial"/>
          <w:sz w:val="24"/>
          <w:szCs w:val="24"/>
          <w:u w:val="single"/>
        </w:rPr>
        <w:t xml:space="preserve"> will notify the arbitrator next in line on the list.</w:t>
      </w:r>
      <w:r w:rsidRPr="00F97A0D">
        <w:rPr>
          <w:rFonts w:ascii="Garamond" w:eastAsia="Calibri" w:hAnsi="Garamond" w:cs="Arial"/>
          <w:sz w:val="24"/>
          <w:szCs w:val="24"/>
          <w:u w:val="single"/>
        </w:rPr>
        <w:t xml:space="preserve"> The selected arbitrator shall offer five (5) or more hearing dates within six (6) months of the </w:t>
      </w:r>
      <w:r w:rsidRPr="00F97A0D">
        <w:rPr>
          <w:rFonts w:ascii="Garamond" w:eastAsia="Calibri" w:hAnsi="Garamond" w:cs="Arial"/>
          <w:sz w:val="24"/>
          <w:szCs w:val="24"/>
          <w:u w:val="single"/>
        </w:rPr>
        <w:lastRenderedPageBreak/>
        <w:t>date of selection. Each party shall endeavor to make themselves available for at least one (1) of the hearing dates offered by the arbitrator.</w:t>
      </w:r>
    </w:p>
    <w:p w14:paraId="3CCF8D3C" w14:textId="77777777" w:rsidR="00F97A0D" w:rsidRDefault="00F97A0D" w:rsidP="00F97A0D">
      <w:pPr>
        <w:tabs>
          <w:tab w:val="left" w:pos="720"/>
          <w:tab w:val="left" w:pos="1440"/>
        </w:tabs>
        <w:jc w:val="both"/>
        <w:rPr>
          <w:rFonts w:ascii="Garamond" w:eastAsiaTheme="majorEastAsia" w:hAnsi="Garamond" w:cs="Arial"/>
          <w:kern w:val="32"/>
          <w:sz w:val="24"/>
          <w:szCs w:val="24"/>
        </w:rPr>
      </w:pPr>
    </w:p>
    <w:p w14:paraId="2F361F5E" w14:textId="77777777" w:rsidR="00F97A0D" w:rsidRDefault="00F97A0D" w:rsidP="00F97A0D">
      <w:pPr>
        <w:tabs>
          <w:tab w:val="left" w:pos="720"/>
          <w:tab w:val="left" w:pos="1440"/>
        </w:tabs>
        <w:jc w:val="both"/>
        <w:rPr>
          <w:rFonts w:ascii="Garamond" w:eastAsiaTheme="majorEastAsia" w:hAnsi="Garamond" w:cs="Arial"/>
          <w:kern w:val="32"/>
          <w:sz w:val="24"/>
          <w:szCs w:val="24"/>
        </w:rPr>
      </w:pPr>
    </w:p>
    <w:p w14:paraId="690D46AD" w14:textId="7E877F93" w:rsidR="00F97A0D" w:rsidRPr="00F97A0D" w:rsidRDefault="00F97A0D" w:rsidP="00F97A0D">
      <w:pPr>
        <w:tabs>
          <w:tab w:val="left" w:pos="720"/>
          <w:tab w:val="left" w:pos="1440"/>
        </w:tabs>
        <w:jc w:val="both"/>
        <w:rPr>
          <w:rFonts w:ascii="Garamond" w:eastAsiaTheme="majorEastAsia" w:hAnsi="Garamond" w:cs="Arial"/>
          <w:kern w:val="32"/>
          <w:sz w:val="24"/>
          <w:szCs w:val="24"/>
        </w:rPr>
      </w:pPr>
      <w:r w:rsidRPr="00F97A0D">
        <w:rPr>
          <w:rFonts w:ascii="Garamond" w:eastAsiaTheme="majorEastAsia" w:hAnsi="Garamond" w:cs="Arial"/>
          <w:kern w:val="32"/>
          <w:sz w:val="24"/>
          <w:szCs w:val="24"/>
        </w:rPr>
        <w:t>The cost of the arbitrator</w:t>
      </w:r>
      <w:r>
        <w:rPr>
          <w:rFonts w:ascii="Garamond" w:eastAsiaTheme="majorEastAsia" w:hAnsi="Garamond" w:cs="Arial"/>
          <w:kern w:val="32"/>
          <w:sz w:val="24"/>
          <w:szCs w:val="24"/>
        </w:rPr>
        <w:t>’</w:t>
      </w:r>
      <w:r w:rsidRPr="00F97A0D">
        <w:rPr>
          <w:rFonts w:ascii="Garamond" w:eastAsiaTheme="majorEastAsia" w:hAnsi="Garamond" w:cs="Arial"/>
          <w:kern w:val="32"/>
          <w:sz w:val="24"/>
          <w:szCs w:val="24"/>
        </w:rPr>
        <w:t xml:space="preserve">s decision shall be borne equally by the parties. </w:t>
      </w:r>
    </w:p>
    <w:p w14:paraId="3DBD9E76" w14:textId="77777777" w:rsidR="00F97A0D" w:rsidRPr="00F97A0D" w:rsidRDefault="00F97A0D" w:rsidP="00F97A0D">
      <w:pPr>
        <w:tabs>
          <w:tab w:val="left" w:pos="720"/>
          <w:tab w:val="left" w:pos="1440"/>
        </w:tabs>
        <w:jc w:val="both"/>
        <w:rPr>
          <w:rFonts w:ascii="Garamond" w:eastAsiaTheme="majorEastAsia" w:hAnsi="Garamond" w:cs="Arial"/>
          <w:kern w:val="32"/>
          <w:sz w:val="24"/>
          <w:szCs w:val="24"/>
        </w:rPr>
      </w:pPr>
    </w:p>
    <w:p w14:paraId="5594D755" w14:textId="77777777" w:rsidR="00F97A0D" w:rsidRPr="00F97A0D" w:rsidRDefault="00F97A0D" w:rsidP="00F97A0D">
      <w:pPr>
        <w:tabs>
          <w:tab w:val="left" w:pos="720"/>
          <w:tab w:val="left" w:pos="1440"/>
        </w:tabs>
        <w:jc w:val="both"/>
        <w:rPr>
          <w:rFonts w:ascii="Garamond" w:eastAsiaTheme="majorEastAsia" w:hAnsi="Garamond" w:cs="Arial"/>
          <w:kern w:val="32"/>
          <w:sz w:val="24"/>
          <w:szCs w:val="24"/>
        </w:rPr>
      </w:pPr>
      <w:r w:rsidRPr="00F97A0D">
        <w:rPr>
          <w:rFonts w:ascii="Garamond" w:eastAsiaTheme="majorEastAsia" w:hAnsi="Garamond" w:cs="Arial"/>
          <w:kern w:val="32"/>
          <w:sz w:val="24"/>
          <w:szCs w:val="24"/>
        </w:rPr>
        <w:t xml:space="preserve">The arbitrator may hear testimony, receive written briefs, interview witnesses, and conduct any investigations she or he deems appropriate, and shall render a final and binding decision to the parties which will end the formal grievance process. </w:t>
      </w:r>
    </w:p>
    <w:p w14:paraId="3E77C432" w14:textId="77777777" w:rsidR="00F97A0D" w:rsidRPr="00F97A0D" w:rsidRDefault="00F97A0D" w:rsidP="00F97A0D">
      <w:pPr>
        <w:tabs>
          <w:tab w:val="left" w:pos="720"/>
          <w:tab w:val="left" w:pos="1440"/>
        </w:tabs>
        <w:jc w:val="both"/>
        <w:rPr>
          <w:rFonts w:ascii="Garamond" w:eastAsiaTheme="majorEastAsia" w:hAnsi="Garamond" w:cs="Arial"/>
          <w:kern w:val="32"/>
          <w:sz w:val="24"/>
          <w:szCs w:val="24"/>
        </w:rPr>
      </w:pPr>
    </w:p>
    <w:p w14:paraId="29CDB915" w14:textId="77777777" w:rsidR="00F97A0D" w:rsidRPr="00F97A0D" w:rsidRDefault="00F97A0D" w:rsidP="00F97A0D">
      <w:pPr>
        <w:tabs>
          <w:tab w:val="left" w:pos="720"/>
          <w:tab w:val="left" w:pos="1440"/>
        </w:tabs>
        <w:jc w:val="both"/>
        <w:rPr>
          <w:rFonts w:ascii="Garamond" w:eastAsiaTheme="majorEastAsia" w:hAnsi="Garamond" w:cs="Arial"/>
          <w:kern w:val="32"/>
          <w:sz w:val="24"/>
          <w:szCs w:val="24"/>
        </w:rPr>
      </w:pPr>
      <w:r w:rsidRPr="00F97A0D">
        <w:rPr>
          <w:rFonts w:ascii="Garamond" w:eastAsiaTheme="majorEastAsia" w:hAnsi="Garamond" w:cs="Arial"/>
          <w:kern w:val="32"/>
          <w:sz w:val="24"/>
          <w:szCs w:val="24"/>
        </w:rPr>
        <w:t xml:space="preserve">No Arbitrator shall entertain, hear, decide or make recommendations on any dispute involving a deposition over which a formally recognized employee organization has jurisdiction unless such dispute falls within the definition of a grievance as specified in this Section. </w:t>
      </w:r>
    </w:p>
    <w:p w14:paraId="062987B7" w14:textId="77777777" w:rsidR="00F97A0D" w:rsidRPr="00F97A0D" w:rsidRDefault="00F97A0D" w:rsidP="00F97A0D">
      <w:pPr>
        <w:tabs>
          <w:tab w:val="left" w:pos="720"/>
          <w:tab w:val="left" w:pos="1440"/>
        </w:tabs>
        <w:jc w:val="both"/>
        <w:rPr>
          <w:rFonts w:ascii="Garamond" w:eastAsiaTheme="majorEastAsia" w:hAnsi="Garamond" w:cs="Arial"/>
          <w:kern w:val="32"/>
          <w:sz w:val="24"/>
          <w:szCs w:val="24"/>
        </w:rPr>
      </w:pPr>
    </w:p>
    <w:p w14:paraId="26DE1C95" w14:textId="77777777" w:rsidR="00F97A0D" w:rsidRPr="00F97A0D" w:rsidRDefault="00F97A0D" w:rsidP="00F97A0D">
      <w:pPr>
        <w:tabs>
          <w:tab w:val="left" w:pos="720"/>
          <w:tab w:val="left" w:pos="1440"/>
        </w:tabs>
        <w:jc w:val="both"/>
        <w:rPr>
          <w:rFonts w:ascii="Garamond" w:eastAsiaTheme="majorEastAsia" w:hAnsi="Garamond" w:cs="Arial"/>
          <w:kern w:val="32"/>
          <w:sz w:val="24"/>
          <w:szCs w:val="24"/>
        </w:rPr>
      </w:pPr>
      <w:r w:rsidRPr="00F97A0D">
        <w:rPr>
          <w:rFonts w:ascii="Garamond" w:eastAsiaTheme="majorEastAsia" w:hAnsi="Garamond" w:cs="Arial"/>
          <w:kern w:val="32"/>
          <w:sz w:val="24"/>
          <w:szCs w:val="24"/>
        </w:rPr>
        <w:t xml:space="preserve">Proposals to add or to change the Agreement or written agreements or addenda supplementary hereto shall not be arbitrable and no proposal to modify, amend or terminate the Agreement, nor any matter or subject arising out of or in connection with such proposal may be referred to arbitration under this Section; and neither any Arbitrator shall have the power to amend or modify or recommend amendment or modification of the Agreement, or any written agreements or addenda supplementary hereto or to establish or recommend establishment of any new terms and conditions of employment. </w:t>
      </w:r>
    </w:p>
    <w:p w14:paraId="0E92B77E" w14:textId="77777777" w:rsidR="00F97A0D" w:rsidRPr="00F97A0D" w:rsidRDefault="00F97A0D" w:rsidP="00F97A0D">
      <w:pPr>
        <w:tabs>
          <w:tab w:val="left" w:pos="720"/>
          <w:tab w:val="left" w:pos="1440"/>
        </w:tabs>
        <w:jc w:val="both"/>
        <w:rPr>
          <w:rFonts w:ascii="Garamond" w:eastAsiaTheme="majorEastAsia" w:hAnsi="Garamond" w:cs="Arial"/>
          <w:kern w:val="32"/>
          <w:sz w:val="24"/>
          <w:szCs w:val="24"/>
        </w:rPr>
      </w:pPr>
    </w:p>
    <w:p w14:paraId="30225606" w14:textId="5AEC9A42" w:rsidR="002D039C" w:rsidRPr="00F97A0D" w:rsidRDefault="00F97A0D" w:rsidP="00F97A0D">
      <w:pPr>
        <w:tabs>
          <w:tab w:val="left" w:pos="720"/>
          <w:tab w:val="left" w:pos="1440"/>
        </w:tabs>
        <w:jc w:val="both"/>
        <w:rPr>
          <w:rFonts w:ascii="Garamond" w:eastAsiaTheme="majorEastAsia" w:hAnsi="Garamond" w:cs="Arial"/>
          <w:kern w:val="32"/>
          <w:sz w:val="24"/>
          <w:szCs w:val="24"/>
        </w:rPr>
      </w:pPr>
      <w:r w:rsidRPr="00F97A0D">
        <w:rPr>
          <w:rFonts w:ascii="Garamond" w:eastAsiaTheme="majorEastAsia" w:hAnsi="Garamond" w:cs="Arial"/>
          <w:kern w:val="32"/>
          <w:sz w:val="24"/>
          <w:szCs w:val="24"/>
        </w:rPr>
        <w:t>No changes in this Agreement or interpretation thereof (except interpretations resulting from arbitration proceedings hereunder) will be recognized unless agreed to by the City Manager and the Union.</w:t>
      </w:r>
      <w:bookmarkEnd w:id="0"/>
      <w:bookmarkEnd w:id="1"/>
      <w:bookmarkEnd w:id="2"/>
    </w:p>
    <w:sectPr w:rsidR="002D039C" w:rsidRPr="00F97A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538EF" w14:textId="77777777" w:rsidR="00212BE2" w:rsidRDefault="00212BE2" w:rsidP="00212BE2">
      <w:r>
        <w:separator/>
      </w:r>
    </w:p>
  </w:endnote>
  <w:endnote w:type="continuationSeparator" w:id="0">
    <w:p w14:paraId="723B80A9" w14:textId="77777777" w:rsidR="00212BE2" w:rsidRDefault="00212BE2" w:rsidP="0021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4EFF" w14:textId="77777777" w:rsidR="00212BE2" w:rsidRDefault="00212BE2" w:rsidP="00212BE2">
      <w:r>
        <w:separator/>
      </w:r>
    </w:p>
  </w:footnote>
  <w:footnote w:type="continuationSeparator" w:id="0">
    <w:p w14:paraId="035EC968" w14:textId="77777777" w:rsidR="00212BE2" w:rsidRDefault="00212BE2" w:rsidP="0021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A8A0B" w14:textId="1D7D8CE7" w:rsidR="00212BE2" w:rsidRDefault="00212BE2">
    <w:pPr>
      <w:pStyle w:val="Header"/>
    </w:pPr>
    <w:r>
      <w:t>SEIU Local 1021/CSU-PTRLA proposal to City of Berkeley</w:t>
    </w:r>
  </w:p>
  <w:p w14:paraId="51AAFA8A" w14:textId="2D38E20C" w:rsidR="00212BE2" w:rsidRDefault="00212BE2">
    <w:pPr>
      <w:pStyle w:val="Header"/>
    </w:pPr>
    <w:r>
      <w:t>September 16,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804AA"/>
    <w:multiLevelType w:val="hybridMultilevel"/>
    <w:tmpl w:val="0258266C"/>
    <w:lvl w:ilvl="0" w:tplc="D7C40E96">
      <w:numFmt w:val="bullet"/>
      <w:lvlText w:val="•"/>
      <w:lvlJc w:val="left"/>
      <w:pPr>
        <w:ind w:left="3620" w:hanging="74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38EA2A4B"/>
    <w:multiLevelType w:val="hybridMultilevel"/>
    <w:tmpl w:val="3832597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6B526B12"/>
    <w:multiLevelType w:val="hybridMultilevel"/>
    <w:tmpl w:val="80629F18"/>
    <w:lvl w:ilvl="0" w:tplc="CD4A1B66">
      <w:start w:val="1"/>
      <w:numFmt w:val="upperLetter"/>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888711">
    <w:abstractNumId w:val="2"/>
  </w:num>
  <w:num w:numId="2" w16cid:durableId="1993438401">
    <w:abstractNumId w:val="0"/>
  </w:num>
  <w:num w:numId="3" w16cid:durableId="110233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0D"/>
    <w:rsid w:val="000D3AF4"/>
    <w:rsid w:val="00212BE2"/>
    <w:rsid w:val="002D039C"/>
    <w:rsid w:val="002D7E50"/>
    <w:rsid w:val="005E77C6"/>
    <w:rsid w:val="00A93432"/>
    <w:rsid w:val="00C522F5"/>
    <w:rsid w:val="00D80461"/>
    <w:rsid w:val="00F9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405B"/>
  <w15:chartTrackingRefBased/>
  <w15:docId w15:val="{410D0685-1F88-46B4-AB12-F9B5FF54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A0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F97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A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A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A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A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A0D"/>
    <w:rPr>
      <w:rFonts w:eastAsiaTheme="majorEastAsia" w:cstheme="majorBidi"/>
      <w:color w:val="272727" w:themeColor="text1" w:themeTint="D8"/>
    </w:rPr>
  </w:style>
  <w:style w:type="paragraph" w:styleId="Title">
    <w:name w:val="Title"/>
    <w:basedOn w:val="Normal"/>
    <w:next w:val="Normal"/>
    <w:link w:val="TitleChar"/>
    <w:uiPriority w:val="10"/>
    <w:qFormat/>
    <w:rsid w:val="00F97A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A0D"/>
    <w:pPr>
      <w:spacing w:before="160"/>
      <w:jc w:val="center"/>
    </w:pPr>
    <w:rPr>
      <w:i/>
      <w:iCs/>
      <w:color w:val="404040" w:themeColor="text1" w:themeTint="BF"/>
    </w:rPr>
  </w:style>
  <w:style w:type="character" w:customStyle="1" w:styleId="QuoteChar">
    <w:name w:val="Quote Char"/>
    <w:basedOn w:val="DefaultParagraphFont"/>
    <w:link w:val="Quote"/>
    <w:uiPriority w:val="29"/>
    <w:rsid w:val="00F97A0D"/>
    <w:rPr>
      <w:i/>
      <w:iCs/>
      <w:color w:val="404040" w:themeColor="text1" w:themeTint="BF"/>
    </w:rPr>
  </w:style>
  <w:style w:type="paragraph" w:styleId="ListParagraph">
    <w:name w:val="List Paragraph"/>
    <w:basedOn w:val="Normal"/>
    <w:uiPriority w:val="34"/>
    <w:qFormat/>
    <w:rsid w:val="00F97A0D"/>
    <w:pPr>
      <w:ind w:left="720"/>
      <w:contextualSpacing/>
    </w:pPr>
  </w:style>
  <w:style w:type="character" w:styleId="IntenseEmphasis">
    <w:name w:val="Intense Emphasis"/>
    <w:basedOn w:val="DefaultParagraphFont"/>
    <w:uiPriority w:val="21"/>
    <w:qFormat/>
    <w:rsid w:val="00F97A0D"/>
    <w:rPr>
      <w:i/>
      <w:iCs/>
      <w:color w:val="0F4761" w:themeColor="accent1" w:themeShade="BF"/>
    </w:rPr>
  </w:style>
  <w:style w:type="paragraph" w:styleId="IntenseQuote">
    <w:name w:val="Intense Quote"/>
    <w:basedOn w:val="Normal"/>
    <w:next w:val="Normal"/>
    <w:link w:val="IntenseQuoteChar"/>
    <w:uiPriority w:val="30"/>
    <w:qFormat/>
    <w:rsid w:val="00F97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A0D"/>
    <w:rPr>
      <w:i/>
      <w:iCs/>
      <w:color w:val="0F4761" w:themeColor="accent1" w:themeShade="BF"/>
    </w:rPr>
  </w:style>
  <w:style w:type="character" w:styleId="IntenseReference">
    <w:name w:val="Intense Reference"/>
    <w:basedOn w:val="DefaultParagraphFont"/>
    <w:uiPriority w:val="32"/>
    <w:qFormat/>
    <w:rsid w:val="00F97A0D"/>
    <w:rPr>
      <w:b/>
      <w:bCs/>
      <w:smallCaps/>
      <w:color w:val="0F4761" w:themeColor="accent1" w:themeShade="BF"/>
      <w:spacing w:val="5"/>
    </w:rPr>
  </w:style>
  <w:style w:type="character" w:customStyle="1" w:styleId="Heading1Char2">
    <w:name w:val="Heading 1 Char2"/>
    <w:rsid w:val="00F97A0D"/>
    <w:rPr>
      <w:rFonts w:ascii="Arial" w:eastAsia="Times New Roman" w:hAnsi="Arial" w:cs="Arial"/>
      <w:b/>
      <w:bCs/>
      <w:kern w:val="32"/>
      <w:sz w:val="24"/>
      <w:szCs w:val="24"/>
    </w:rPr>
  </w:style>
  <w:style w:type="paragraph" w:styleId="Header">
    <w:name w:val="header"/>
    <w:basedOn w:val="Normal"/>
    <w:link w:val="HeaderChar"/>
    <w:uiPriority w:val="99"/>
    <w:unhideWhenUsed/>
    <w:rsid w:val="00212BE2"/>
    <w:pPr>
      <w:tabs>
        <w:tab w:val="center" w:pos="4680"/>
        <w:tab w:val="right" w:pos="9360"/>
      </w:tabs>
    </w:pPr>
  </w:style>
  <w:style w:type="character" w:customStyle="1" w:styleId="HeaderChar">
    <w:name w:val="Header Char"/>
    <w:basedOn w:val="DefaultParagraphFont"/>
    <w:link w:val="Header"/>
    <w:uiPriority w:val="99"/>
    <w:rsid w:val="00212BE2"/>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12BE2"/>
    <w:pPr>
      <w:tabs>
        <w:tab w:val="center" w:pos="4680"/>
        <w:tab w:val="right" w:pos="9360"/>
      </w:tabs>
    </w:pPr>
  </w:style>
  <w:style w:type="character" w:customStyle="1" w:styleId="FooterChar">
    <w:name w:val="Footer Char"/>
    <w:basedOn w:val="DefaultParagraphFont"/>
    <w:link w:val="Footer"/>
    <w:uiPriority w:val="99"/>
    <w:rsid w:val="00212BE2"/>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6</cp:revision>
  <dcterms:created xsi:type="dcterms:W3CDTF">2024-09-16T17:16:00Z</dcterms:created>
  <dcterms:modified xsi:type="dcterms:W3CDTF">2024-09-16T19:44:00Z</dcterms:modified>
</cp:coreProperties>
</file>