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D62E7" w14:textId="77777777" w:rsidR="00E349CF" w:rsidRDefault="00E349CF" w:rsidP="00E349CF">
      <w:pPr>
        <w:rPr>
          <w:rFonts w:ascii="Garamond" w:hAnsi="Garamond"/>
          <w:b/>
          <w:sz w:val="24"/>
          <w:szCs w:val="24"/>
          <w:u w:val="single"/>
        </w:rPr>
      </w:pPr>
      <w:r w:rsidRPr="00E349CF">
        <w:rPr>
          <w:rFonts w:ascii="Garamond" w:hAnsi="Garamond"/>
          <w:b/>
          <w:sz w:val="24"/>
          <w:szCs w:val="24"/>
          <w:u w:val="single"/>
        </w:rPr>
        <w:t>38.3.6.5 Implementation of Monetary Remedies</w:t>
      </w:r>
    </w:p>
    <w:p w14:paraId="2DDE756C" w14:textId="77777777" w:rsidR="00E349CF" w:rsidRPr="00E349CF" w:rsidRDefault="00E349CF" w:rsidP="00E349CF">
      <w:pPr>
        <w:rPr>
          <w:rFonts w:ascii="Garamond" w:hAnsi="Garamond"/>
          <w:b/>
          <w:sz w:val="24"/>
          <w:szCs w:val="24"/>
          <w:u w:val="single"/>
        </w:rPr>
      </w:pPr>
    </w:p>
    <w:p w14:paraId="54781880" w14:textId="77777777" w:rsidR="00E349CF" w:rsidRPr="00E349CF" w:rsidRDefault="00E349CF" w:rsidP="00E349CF">
      <w:pPr>
        <w:rPr>
          <w:rFonts w:ascii="Garamond" w:hAnsi="Garamond"/>
          <w:b/>
          <w:sz w:val="24"/>
          <w:szCs w:val="24"/>
          <w:u w:val="single"/>
        </w:rPr>
      </w:pPr>
      <w:r w:rsidRPr="00E349CF">
        <w:rPr>
          <w:rFonts w:ascii="Garamond" w:hAnsi="Garamond"/>
          <w:b/>
          <w:sz w:val="24"/>
          <w:szCs w:val="24"/>
          <w:u w:val="single"/>
        </w:rPr>
        <w:t>If the parties reach agreement on a grievance settlement providing for a monetary remedy, or an arbitrator issues a decision providing a monetary remedy, in addition to making affected employees whole, the Employer is responsible for paying the grievant(s) 10% interest compounding annually from thirty (30) days prior to the date of the earliest violation or the date ordered or agreed upon in the remedy, whichever is earlier.</w:t>
      </w:r>
    </w:p>
    <w:p w14:paraId="3A9D694B" w14:textId="77777777" w:rsidR="002D039C" w:rsidRPr="00E349CF" w:rsidRDefault="002D039C">
      <w:pPr>
        <w:rPr>
          <w:u w:val="single"/>
        </w:rPr>
      </w:pPr>
    </w:p>
    <w:sectPr w:rsidR="002D039C" w:rsidRPr="00E349CF" w:rsidSect="00E349CF">
      <w:head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C583" w14:textId="77777777" w:rsidR="00E349CF" w:rsidRDefault="00E349CF" w:rsidP="00B66CE7">
    <w:pPr>
      <w:pStyle w:val="Header"/>
    </w:pPr>
    <w:r>
      <w:t>SEIU Local 1021/CSU-PTR</w:t>
    </w:r>
    <w:r>
      <w:t xml:space="preserve">LA proposal to </w:t>
    </w:r>
    <w:r>
      <w:t>the C</w:t>
    </w:r>
    <w:r>
      <w:t>i</w:t>
    </w:r>
    <w:r>
      <w:t xml:space="preserve">ty </w:t>
    </w:r>
    <w:r>
      <w:t>of Berkeley</w:t>
    </w:r>
  </w:p>
  <w:p w14:paraId="1BB5F25B" w14:textId="77777777" w:rsidR="00E349CF" w:rsidRDefault="00E349CF" w:rsidP="00B66CE7">
    <w:pPr>
      <w:pStyle w:val="Header"/>
    </w:pPr>
    <w:r>
      <w:t>August 27, 2024</w:t>
    </w:r>
  </w:p>
  <w:p w14:paraId="2E1F56A4" w14:textId="77777777" w:rsidR="00E349CF" w:rsidRDefault="00E349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CF"/>
    <w:rsid w:val="002D039C"/>
    <w:rsid w:val="005E77C6"/>
    <w:rsid w:val="007B2635"/>
    <w:rsid w:val="00E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4E3D"/>
  <w15:chartTrackingRefBased/>
  <w15:docId w15:val="{90BE5989-B4DE-4BBD-A26E-24EABAD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CF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9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9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9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9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9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9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9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9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9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9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4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9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4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9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4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9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9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9CF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1</cp:revision>
  <dcterms:created xsi:type="dcterms:W3CDTF">2024-08-27T20:52:00Z</dcterms:created>
  <dcterms:modified xsi:type="dcterms:W3CDTF">2024-08-27T20:53:00Z</dcterms:modified>
</cp:coreProperties>
</file>